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18C17">
      <w:pPr>
        <w:spacing w:before="80" w:after="400"/>
        <w:jc w:val="center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2026年全国大学生电子设计竞赛</w:t>
      </w:r>
    </w:p>
    <w:p w14:paraId="1358F3E1"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000000"/>
          <w:sz w:val="44"/>
        </w:rPr>
        <w:t>H．车载平衡滚球运动控制系统</w:t>
      </w:r>
    </w:p>
    <w:p w14:paraId="6F140A4D">
      <w:pPr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设 计 报 告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00"/>
        <w:gridCol w:w="1500"/>
        <w:gridCol w:w="2957"/>
      </w:tblGrid>
      <w:tr w14:paraId="09620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F82DA7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w="30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E34086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内容</w:t>
            </w:r>
          </w:p>
        </w:tc>
        <w:tc>
          <w:tcPr>
            <w:tcW w:w="15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797EAE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w="295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7C9C16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内容</w:t>
            </w:r>
          </w:p>
        </w:tc>
      </w:tr>
      <w:tr w14:paraId="3EF3B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</w:tcPr>
          <w:p w14:paraId="0707517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参赛学校</w:t>
            </w:r>
          </w:p>
        </w:tc>
        <w:tc>
          <w:tcPr>
            <w:tcW w:w="3000" w:type="dxa"/>
          </w:tcPr>
          <w:p w14:paraId="2379691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8"/>
              </w:rPr>
              <w:t>［填写］</w:t>
            </w:r>
          </w:p>
        </w:tc>
        <w:tc>
          <w:tcPr>
            <w:tcW w:w="1500" w:type="dxa"/>
          </w:tcPr>
          <w:p w14:paraId="7C88960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队号</w:t>
            </w:r>
          </w:p>
        </w:tc>
        <w:tc>
          <w:tcPr>
            <w:tcW w:w="2957" w:type="dxa"/>
          </w:tcPr>
          <w:p w14:paraId="15ACFFC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8"/>
              </w:rPr>
              <w:t>［填写］</w:t>
            </w:r>
          </w:p>
        </w:tc>
      </w:tr>
      <w:tr w14:paraId="65FCF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</w:tcPr>
          <w:p w14:paraId="6F7BA3F2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参赛队员</w:t>
            </w:r>
          </w:p>
        </w:tc>
        <w:tc>
          <w:tcPr>
            <w:tcW w:w="3000" w:type="dxa"/>
          </w:tcPr>
          <w:p w14:paraId="23821389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8"/>
              </w:rPr>
              <w:t>［填写］</w:t>
            </w:r>
          </w:p>
        </w:tc>
        <w:tc>
          <w:tcPr>
            <w:tcW w:w="1500" w:type="dxa"/>
          </w:tcPr>
          <w:p w14:paraId="72F2296F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完成日期</w:t>
            </w:r>
          </w:p>
        </w:tc>
        <w:tc>
          <w:tcPr>
            <w:tcW w:w="2957" w:type="dxa"/>
          </w:tcPr>
          <w:p w14:paraId="35B63528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8"/>
              </w:rPr>
              <w:t>［填写］</w:t>
            </w:r>
          </w:p>
        </w:tc>
      </w:tr>
    </w:tbl>
    <w:p w14:paraId="76E8E33E"/>
    <w:p w14:paraId="12FE6F2E">
      <w:pPr>
        <w:spacing w:before="80" w:after="10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摘  要</w:t>
      </w:r>
    </w:p>
    <w:p w14:paraId="5D9B20CA">
      <w:r>
        <w:rPr>
          <w:rFonts w:ascii="Times New Roman" w:hAnsi="Times New Roman" w:eastAsia="宋体"/>
          <w:b w:val="0"/>
          <w:i w:val="0"/>
          <w:color w:val="000000"/>
          <w:sz w:val="21"/>
        </w:rPr>
        <w:t>本系统以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MSPMOG3507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为核心，设计了一辆搭载平衡滚球运动控制装置的轮式循线小车。小车采用八路红外光电传感器获取黑线位置，结合编码器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电机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与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mpu6050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完成直线、半圆弧及启停状态判定；滚球装置利用摄像头提取钢球坐标，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天猛星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舵机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调节摆杆倾角，实现钢球定点、往返及车辆运动过程中的稳定控制。系统同时完成按键启动、时间显示以及车载图传记录。测试结果表明：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小车绕圈时间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、停车偏差、最大滚球误差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满足题目主要指标要求。</w:t>
      </w:r>
    </w:p>
    <w:p w14:paraId="0D91747C">
      <w:pPr>
        <w:pStyle w:val="164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。</w:t>
      </w:r>
    </w:p>
    <w:p w14:paraId="144EB020">
      <w:pPr>
        <w:spacing w:before="10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关键词：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循迹小车；平衡滚球；视觉检测；PID控制；图像传输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3A0A0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4F4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7BC69DD">
            <w:pPr>
              <w:spacing w:after="0"/>
              <w:ind w:firstLine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9"/>
              </w:rPr>
              <w:t>模板说明：</w:t>
            </w:r>
            <w:r>
              <w:rPr>
                <w:rFonts w:ascii="Times New Roman" w:hAnsi="Times New Roman" w:eastAsia="宋体"/>
                <w:b w:val="0"/>
                <w:i w:val="0"/>
                <w:color w:val="666666"/>
                <w:sz w:val="19"/>
              </w:rPr>
              <w:t>灰色“填写提示”和方括号内容仅供撰写时参考，定稿前应全部替换或删除。当前工程中可确认的器件已作为建议项出现，实际型号以最终实物为准。</w:t>
            </w:r>
          </w:p>
        </w:tc>
      </w:tr>
    </w:tbl>
    <w:p w14:paraId="31C0E18E">
      <w:r>
        <w:br w:type="page"/>
      </w:r>
    </w:p>
    <w:p w14:paraId="7553B981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 设计任务及要求</w:t>
      </w:r>
    </w:p>
    <w:p w14:paraId="01E446A4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1.1 任务分析</w:t>
      </w:r>
    </w:p>
    <w:p w14:paraId="00C91D9D">
      <w:r>
        <w:rPr>
          <w:rFonts w:ascii="Times New Roman" w:hAnsi="Times New Roman" w:eastAsia="宋体"/>
          <w:b w:val="0"/>
          <w:i w:val="0"/>
          <w:color w:val="000000"/>
          <w:sz w:val="21"/>
        </w:rPr>
        <w:t>本题要求在尺寸不超过35 cm×25 cm的轮式小车上安装带凹槽摆杆、角度控制机构、钢球及图传装置。小车仅使用红外光电模块进行黑线循迹，在由两段1.5 m直线与两段半径0.5 m半圆组成的环形线路上完成定时、定点和整圈运行；同时通过摄像头检测钢球在25 cm摆杆中的位置，并在车辆静止或行驶时将钢球稳定在指定坐标附近。</w:t>
      </w:r>
    </w:p>
    <w:p w14:paraId="4FAAB642">
      <w:r>
        <w:rPr>
          <w:rFonts w:ascii="Times New Roman" w:hAnsi="Times New Roman" w:eastAsia="宋体"/>
          <w:b w:val="0"/>
          <w:i w:val="0"/>
          <w:color w:val="000000"/>
          <w:sz w:val="21"/>
        </w:rPr>
        <w:t>系统可分为小车运动控制、滚球位置控制、视觉检测与图传、计时显示四个子系统。报告应围绕“位置如何检测、状态如何切换、控制量如何计算、指标如何验证”展开，并使每一项测试结果能够对应题目评分点。</w:t>
      </w:r>
    </w:p>
    <w:p w14:paraId="17AB0CA3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1.2 主要技术指标与验证材料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3550"/>
        <w:gridCol w:w="4607"/>
      </w:tblGrid>
      <w:tr w14:paraId="2548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570545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序号</w:t>
            </w:r>
          </w:p>
        </w:tc>
        <w:tc>
          <w:tcPr>
            <w:tcW w:w="35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D8F460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任务内容</w:t>
            </w:r>
          </w:p>
        </w:tc>
        <w:tc>
          <w:tcPr>
            <w:tcW w:w="46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E3A9D9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报告中应给出的证据</w:t>
            </w:r>
          </w:p>
        </w:tc>
      </w:tr>
      <w:tr w14:paraId="1E8C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</w:tcPr>
          <w:p w14:paraId="29241F6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3550" w:type="dxa"/>
          </w:tcPr>
          <w:p w14:paraId="41B10DF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图传实时显示、完整录像并可回放</w:t>
            </w:r>
          </w:p>
        </w:tc>
        <w:tc>
          <w:tcPr>
            <w:tcW w:w="4607" w:type="dxa"/>
          </w:tcPr>
          <w:p w14:paraId="284062D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画面覆盖全摆杆；录像文件与回放截图</w:t>
            </w:r>
          </w:p>
        </w:tc>
      </w:tr>
      <w:tr w14:paraId="4112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</w:tcPr>
          <w:p w14:paraId="39B337A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3550" w:type="dxa"/>
          </w:tcPr>
          <w:p w14:paraId="03CC8AD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顺时针一圈并停在A点</w:t>
            </w:r>
          </w:p>
        </w:tc>
        <w:tc>
          <w:tcPr>
            <w:tcW w:w="4607" w:type="dxa"/>
          </w:tcPr>
          <w:p w14:paraId="2CD3D108"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总时间≤20 s；停车偏差≤2 cm</w:t>
            </w:r>
          </w:p>
        </w:tc>
      </w:tr>
      <w:tr w14:paraId="3AE4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</w:tcPr>
          <w:p w14:paraId="65E0294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3550" w:type="dxa"/>
          </w:tcPr>
          <w:p w14:paraId="5C69831F"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静止时O→+5 cm→−5 cm并稳定</w:t>
            </w:r>
          </w:p>
        </w:tc>
        <w:tc>
          <w:tcPr>
            <w:tcW w:w="4607" w:type="dxa"/>
          </w:tcPr>
          <w:p w14:paraId="7BE7EB0E"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总时间≤5 s；±5 cm最大误差≤1 cm</w:t>
            </w:r>
          </w:p>
        </w:tc>
      </w:tr>
      <w:tr w14:paraId="20F3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</w:tcPr>
          <w:p w14:paraId="4A20B21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w="3550" w:type="dxa"/>
          </w:tcPr>
          <w:p w14:paraId="4E6077D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A到B行驶并稳定在O点</w:t>
            </w:r>
          </w:p>
        </w:tc>
        <w:tc>
          <w:tcPr>
            <w:tcW w:w="4607" w:type="dxa"/>
          </w:tcPr>
          <w:p w14:paraId="4781627A"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AB时间≤8 s；最大位置误差≤1 cm</w:t>
            </w:r>
          </w:p>
        </w:tc>
      </w:tr>
      <w:tr w14:paraId="3632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</w:tcPr>
          <w:p w14:paraId="2AB5EE4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w="3550" w:type="dxa"/>
          </w:tcPr>
          <w:p w14:paraId="4046C8B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整圈行驶并稳定在O点</w:t>
            </w:r>
          </w:p>
        </w:tc>
        <w:tc>
          <w:tcPr>
            <w:tcW w:w="4607" w:type="dxa"/>
          </w:tcPr>
          <w:p w14:paraId="0F51567B"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整圈≤30 s；最大位置误差≤1 cm</w:t>
            </w:r>
          </w:p>
        </w:tc>
      </w:tr>
      <w:tr w14:paraId="22EF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</w:tcPr>
          <w:p w14:paraId="375F026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w="3550" w:type="dxa"/>
          </w:tcPr>
          <w:p w14:paraId="0A234B6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整圈行驶并稳定在任意设定位置</w:t>
            </w:r>
          </w:p>
        </w:tc>
        <w:tc>
          <w:tcPr>
            <w:tcW w:w="4607" w:type="dxa"/>
          </w:tcPr>
          <w:p w14:paraId="236636F5">
            <w:pPr>
              <w:keepNext/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整圈≤30 s；最大位置误差≤1 cm</w:t>
            </w:r>
          </w:p>
        </w:tc>
      </w:tr>
      <w:tr w14:paraId="1189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</w:tcPr>
          <w:p w14:paraId="32A8A84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其他</w:t>
            </w:r>
          </w:p>
        </w:tc>
        <w:tc>
          <w:tcPr>
            <w:tcW w:w="3550" w:type="dxa"/>
          </w:tcPr>
          <w:p w14:paraId="28624AD7"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启动按键、显示、车载供电、尺寸约束</w:t>
            </w:r>
          </w:p>
        </w:tc>
        <w:tc>
          <w:tcPr>
            <w:tcW w:w="4607" w:type="dxa"/>
          </w:tcPr>
          <w:p w14:paraId="43E12231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实物照片、尺寸与功耗记录</w:t>
            </w:r>
          </w:p>
        </w:tc>
      </w:tr>
    </w:tbl>
    <w:p w14:paraId="32C84FB6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1.3 设计目标与难点</w:t>
      </w:r>
    </w:p>
    <w:p w14:paraId="7A567CDD">
      <w:pPr>
        <w:pStyle w:val="16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直线与半圆弧的循迹参数和基础速度不同，需要设计可靠的路段状态机，避免误触发和丢线。</w:t>
      </w:r>
    </w:p>
    <w:p w14:paraId="3306DA05">
      <w:pPr>
        <w:pStyle w:val="16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车体加减速与转弯产生的惯性扰动会使钢球滚动，滚球控制必须兼顾响应速度、超调和抗扰性。</w:t>
      </w:r>
    </w:p>
    <w:p w14:paraId="4516B638">
      <w:pPr>
        <w:pStyle w:val="16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摄像头既是滚球位置检测的唯一传感器，又要满足图传录像要求，需处理延迟、标定和光照变化。</w:t>
      </w:r>
    </w:p>
    <w:p w14:paraId="1BFA3E19">
      <w:pPr>
        <w:pStyle w:val="16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各测试需独立计时并保存钢球位置曲线，便于计算最大误差并形成可复核的数据。</w:t>
      </w:r>
    </w:p>
    <w:p w14:paraId="5C74F477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 系统方案设计</w:t>
      </w:r>
    </w:p>
    <w:p w14:paraId="2C7C8FED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2.1 系统总体框架</w:t>
      </w:r>
    </w:p>
    <w:p w14:paraId="31B08912">
      <w:r>
        <w:rPr>
          <w:rFonts w:ascii="Times New Roman" w:hAnsi="Times New Roman" w:eastAsia="宋体"/>
          <w:b w:val="0"/>
          <w:i w:val="0"/>
          <w:color w:val="000000"/>
          <w:sz w:val="21"/>
        </w:rPr>
        <w:t>系统由主控制器、红外循迹模块、编码器与MPU6050、四轮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编码器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电机驱动、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齿轮舵机控制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机构、视觉处理/图传模块、按键及显示模块组成。主控制器周期性读取循迹误差和车辆姿态，输出左右轮目标速度；视觉模块输出钢球位置，滚球控制器根据设定点与实测位置调节摆杆倾角。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E162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4440F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70428FB6"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22FA2B78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［插入图1 系统总体框图］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建议画出：红外/编码器/MPU6050/摄像头 → 主控或视觉处理器 → 电机驱动/摆杆执行机构/OLED与数码管/图传接收端。</w:t>
                  </w:r>
                  <w:r>
                    <w:br w:type="textWrapping"/>
                  </w:r>
                  <w:r>
                    <w:br w:type="textWrapping"/>
                  </w:r>
                </w:p>
              </w:tc>
            </w:tr>
          </w:tbl>
          <w:p w14:paraId="4AC5472D"/>
          <w:p w14:paraId="6B27AF2D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图1 系统总体框图</w:t>
            </w:r>
          </w:p>
        </w:tc>
      </w:tr>
    </w:tbl>
    <w:p w14:paraId="07B8C7CD">
      <w:pPr>
        <w:pStyle w:val="164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【填写提示】图中必须区分“循迹位置检测”和“钢球位置检测”：前者为红外模块，后者按题目要求必须为摄像头。</w:t>
      </w:r>
    </w:p>
    <w:p w14:paraId="63136E0D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2.2 主控制器方案</w:t>
      </w:r>
    </w:p>
    <w:p w14:paraId="0AB279F9">
      <w:pPr>
        <w:rPr>
          <w:rFonts w:hint="default" w:ascii="Times New Roman" w:hAnsi="Times New Roman" w:eastAsia="宋体"/>
          <w:b/>
          <w:i w:val="0"/>
          <w:color w:val="000000"/>
          <w:sz w:val="24"/>
          <w:lang w:val="en-US" w:eastAsia="zh-CN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小车采用两块MSPM0G3507，其中一块作为主控板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完成多路GPIO采样、电机PWM、编码器测速、惯性传感器通信、按键与显示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刷新，同时使用泰山派作为视觉识别的主控，采用yolo算法识别钢球，在板子上画出钢球的位置，将矩形框四个顶点的中心作为钢球球心。算出钢球运动的dx，把数据传给另一块天猛星MSPM0G3507，用来控制舵机升降来控制钢球在管道内的运动，</w:t>
      </w:r>
    </w:p>
    <w:p w14:paraId="3EFCD62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2.3 小车驱动与测速方案</w:t>
      </w:r>
    </w:p>
    <w:p w14:paraId="4357E80D">
      <w:r>
        <w:rPr>
          <w:rFonts w:ascii="Times New Roman" w:hAnsi="Times New Roman" w:eastAsia="宋体"/>
          <w:b w:val="0"/>
          <w:i w:val="0"/>
          <w:color w:val="000000"/>
          <w:sz w:val="21"/>
        </w:rPr>
        <w:t>小车采用四轮差速结构，电机驱动器为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四路驱动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TB6612FNG。编码器测得各轮转速，速度闭环根据目标速度修正PWM。为降低启动冲击，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启动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采用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匀加速启动设计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；停止阶段根据对应任务选择直接制动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后倒车和差速转向回正方向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8E9D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E935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27E63C72"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7A8C416A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［插入图2 小车驱动与编码器连接框图］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标注电池、稳压、电机驱动、四个电机、编码器与主控连接。</w:t>
                  </w:r>
                  <w:r>
                    <w:br w:type="textWrapping"/>
                  </w:r>
                </w:p>
              </w:tc>
            </w:tr>
          </w:tbl>
          <w:p w14:paraId="59FED47C"/>
          <w:p w14:paraId="56D3BD63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图2 小车驱动与编码器连接框图</w:t>
            </w:r>
          </w:p>
        </w:tc>
      </w:tr>
    </w:tbl>
    <w:p w14:paraId="3DE46C4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2.4 红外循迹方案</w:t>
      </w:r>
    </w:p>
    <w:p w14:paraId="4E1F1D05">
      <w:r>
        <w:rPr>
          <w:rFonts w:ascii="Times New Roman" w:hAnsi="Times New Roman" w:eastAsia="宋体"/>
          <w:b w:val="0"/>
          <w:i w:val="0"/>
          <w:color w:val="000000"/>
          <w:sz w:val="21"/>
        </w:rPr>
        <w:t>循迹模块采用八路红外光电传感器，沿车头横向排列。各通道根据黑/白电平转换为二值量，再通过加权求和得到横向偏差。直线段与弧线段分别设置基础速度及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KP,KD等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控制参数，路段切换由红外特征、编码器距离和航向角共同约束。</w:t>
      </w:r>
    </w:p>
    <w:p w14:paraId="4D3EB04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2.5 惯性测量与路段判断方案</w:t>
      </w:r>
    </w:p>
    <w:p w14:paraId="75371F75">
      <w:pPr>
        <w:rPr>
          <w:rFonts w:ascii="Times New Roman" w:hAnsi="Times New Roman" w:eastAsia="宋体"/>
          <w:b w:val="0"/>
          <w:i w:val="0"/>
          <w:color w:val="000000"/>
          <w:sz w:val="21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MPU6050用于累计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转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向变化，编码器用于估算行驶距离与速度。二者不替代红外循迹，而是为直线/弧线状态切换、整圈结束以及异常保护提供附加判据。应在报告中写明零偏校准时间、角度积分周期、距离换算系数及阈值来源。</w:t>
      </w:r>
    </w:p>
    <w:p w14:paraId="5A2A1AEA">
      <w:pPr>
        <w:rPr>
          <w:rFonts w:hint="eastAsia"/>
          <w:b w:val="0"/>
          <w:i w:val="0"/>
          <w:color w:val="000000"/>
          <w:sz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</w:rPr>
        <w:t>系统上电后首先进行MPU6050静态零偏校准。校准过程中保持小车静止，连续采集300组Z轴角速度数据，单次采样间隔为8 ms，因此陀螺仪零偏采集时间约为2.4 s。为减小偶然噪声影响，将采样数据排序后剔除最大和最小各20组数据，取剩余260组数据的平均值作为Z轴角速度零偏。随后采集200组加速度数据，采样间隔为5 ms，用于计算横滚角和俯仰角安装偏差，该过程约为1.0 s。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总校准时间约为3.5s。</w:t>
      </w:r>
    </w:p>
    <w:p w14:paraId="065B7E5E">
      <w:pPr>
        <w:rPr>
          <w:rFonts w:hint="default"/>
          <w:b w:val="0"/>
          <w:i w:val="0"/>
          <w:color w:val="000000"/>
          <w:sz w:val="21"/>
          <w:lang w:val="en-US" w:eastAsia="zh-CN"/>
        </w:rPr>
      </w:pPr>
    </w:p>
    <w:p w14:paraId="51A3908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2.6 平衡滚球装置方案</w:t>
      </w:r>
    </w:p>
    <w:p w14:paraId="393FCBDF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2.6.1 摆杆与角度执行机构</w:t>
      </w:r>
    </w:p>
    <w:p w14:paraId="5BEAD381">
      <w:r>
        <w:rPr>
          <w:rFonts w:ascii="Times New Roman" w:hAnsi="Times New Roman" w:eastAsia="宋体"/>
          <w:b w:val="0"/>
          <w:i w:val="0"/>
          <w:color w:val="000000"/>
          <w:sz w:val="21"/>
        </w:rPr>
        <w:t>摆杆由长度25 cm的4分PPR水管加工而成，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顶部切开，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左端铰接且离车板高度h≥5 cm，右端由舵机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控制齿轮齿条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改变高度或角度。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齿条的运动范围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覆盖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滚球所需倾角范围，并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通过增加齿数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尽量减小回差。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A37D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0E41A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3093656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0F7F1816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［插入图3 摆杆机械结构及尺寸］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建议使用实物侧视图或CAD图，标注铰点、h、杆长、执行机构和摄像头位置。</w:t>
                  </w:r>
                  <w:r>
                    <w:br w:type="textWrapping"/>
                  </w:r>
                </w:p>
              </w:tc>
            </w:tr>
          </w:tbl>
          <w:p w14:paraId="799B3526"/>
          <w:p w14:paraId="00B6C05F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图3 摆杆机械结构及尺寸</w:t>
            </w:r>
          </w:p>
        </w:tc>
      </w:tr>
    </w:tbl>
    <w:p w14:paraId="78A23B65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2.6.2 钢球视觉检测与标定</w:t>
      </w:r>
    </w:p>
    <w:p w14:paraId="1F2189DD">
      <w:r>
        <w:rPr>
          <w:rFonts w:ascii="Times New Roman" w:hAnsi="Times New Roman" w:eastAsia="宋体"/>
          <w:b w:val="0"/>
          <w:i w:val="0"/>
          <w:color w:val="000000"/>
          <w:sz w:val="21"/>
        </w:rPr>
        <w:t>摄像头固定在凹槽上方，画面覆盖整个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ppr水管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。视觉处理流程可包括裁剪感兴趣区域、颜色/灰度分割、形态学处理、轮廓筛选与圆心计算，最后通过像素—长度标定得到钢球相对O点的坐标。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C887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833A4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3373F1FC"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6E23B0BA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［插入图4 钢球视觉识别流程与标定画面］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放置原图、二值图、圆心叠加图以及−5 cm、0、+5 cm标定点。</w:t>
                  </w:r>
                  <w:r>
                    <w:br w:type="textWrapping"/>
                  </w:r>
                </w:p>
              </w:tc>
            </w:tr>
          </w:tbl>
          <w:p w14:paraId="20A7E5A4"/>
          <w:p w14:paraId="097B11BF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图4 钢球视觉识别流程与标定画面</w:t>
            </w:r>
          </w:p>
        </w:tc>
      </w:tr>
    </w:tbl>
    <w:p w14:paraId="131A2CF0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2.6.3 图传与录像方案</w:t>
      </w:r>
    </w:p>
    <w:p w14:paraId="30D303CB">
      <w:r>
        <w:rPr>
          <w:rFonts w:ascii="Times New Roman" w:hAnsi="Times New Roman" w:eastAsia="宋体"/>
          <w:b w:val="0"/>
          <w:i w:val="0"/>
          <w:color w:val="000000"/>
          <w:sz w:val="21"/>
        </w:rPr>
        <w:t>图传发送端和摄像头稳固安装在车体，接收端连接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平板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。测试时实时显示全摆杆画面，按“日期—任务—测试序号”保存视频，并在报告中给出帧率、分辨率、可用传输距离和录像文件示例。</w:t>
      </w:r>
    </w:p>
    <w:p w14:paraId="5874580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2.7 人机交互与供电方案</w:t>
      </w:r>
    </w:p>
    <w:p w14:paraId="529851D8">
      <w:pPr>
        <w:rPr>
          <w:rFonts w:hint="eastAsia" w:eastAsia="宋体"/>
          <w:lang w:eastAsia="zh-CN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MSPMOG3507通过SPI通信连接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OLED用于显示模式、状态或触发原因，数码管用于显示从按键启动到车辆停止的时间。车载电池经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5V和3.3V降压模块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分别为电机、主控、视觉及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舵机模块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供电</w:t>
      </w:r>
      <w:r>
        <w:rPr>
          <w:rFonts w:hint="eastAsia"/>
          <w:b w:val="0"/>
          <w:i w:val="0"/>
          <w:color w:val="000000"/>
          <w:sz w:val="21"/>
          <w:lang w:eastAsia="zh-CN"/>
        </w:rPr>
        <w:t>。</w:t>
      </w:r>
    </w:p>
    <w:p w14:paraId="7EAE434A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 理论分析与控制方法</w:t>
      </w:r>
    </w:p>
    <w:p w14:paraId="0648C9A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3.1 小车循迹控制理论</w:t>
      </w:r>
    </w:p>
    <w:p w14:paraId="1603EB06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3.1.1 八路红外加权误差</w:t>
      </w:r>
    </w:p>
    <w:p w14:paraId="398FBB47">
      <w:r>
        <w:rPr>
          <w:rFonts w:ascii="Times New Roman" w:hAnsi="Times New Roman" w:eastAsia="宋体"/>
          <w:b w:val="0"/>
          <w:i w:val="0"/>
          <w:color w:val="000000"/>
          <w:sz w:val="21"/>
        </w:rPr>
        <w:t>设第i路传感器检测黑线时bᵢ=1，否则bᵢ=0；其横向权值为wᵢ。中间通道权值接近0，左、右通道分别取负值和正值。当至少一路检测到黑线时，离散横向误差可表示为：</w:t>
      </w:r>
    </w:p>
    <w:p w14:paraId="0A928166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e(k) = [Σ bᵢ(k)·wᵢ] / [Σ bᵢ(k)]</w:t>
      </w:r>
    </w:p>
    <w:p w14:paraId="6D6A49E3">
      <w:pPr>
        <w:ind w:left="0" w:leftChars="0" w:firstLine="0" w:firstLineChars="0"/>
        <w:rPr>
          <w:rFonts w:hint="eastAsia"/>
          <w:b w:val="0"/>
          <w:i w:val="0"/>
          <w:color w:val="000000"/>
          <w:sz w:val="21"/>
          <w:lang w:val="en-US" w:eastAsia="zh-CN"/>
        </w:rPr>
      </w:pPr>
    </w:p>
    <w:p w14:paraId="5487E25A">
      <w:pPr>
        <w:ind w:left="0" w:leftChars="0" w:firstLine="0" w:firstLineChars="0"/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直线权值：</w:t>
      </w:r>
    </w:p>
    <w:tbl>
      <w:tblPr>
        <w:tblStyle w:val="33"/>
        <w:tblW w:w="89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14:paraId="2DC3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E64C87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通道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51EDF8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X1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B60EC3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X2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B147CC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X3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81F163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X4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DA0981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X5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02F164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X6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C5EEB9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X7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7DA802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X8</w:t>
            </w:r>
          </w:p>
        </w:tc>
      </w:tr>
      <w:tr w14:paraId="0009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</w:tcPr>
          <w:p w14:paraId="5A02D7C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权值</w:t>
            </w:r>
          </w:p>
        </w:tc>
        <w:tc>
          <w:tcPr>
            <w:tcW w:w="982" w:type="dxa"/>
          </w:tcPr>
          <w:p w14:paraId="1BF80099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-4.0</w:t>
            </w:r>
          </w:p>
        </w:tc>
        <w:tc>
          <w:tcPr>
            <w:tcW w:w="982" w:type="dxa"/>
          </w:tcPr>
          <w:p w14:paraId="76F262E2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-3.0</w:t>
            </w:r>
          </w:p>
        </w:tc>
        <w:tc>
          <w:tcPr>
            <w:tcW w:w="982" w:type="dxa"/>
          </w:tcPr>
          <w:p w14:paraId="2798CABE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-2.5</w:t>
            </w:r>
          </w:p>
        </w:tc>
        <w:tc>
          <w:tcPr>
            <w:tcW w:w="982" w:type="dxa"/>
          </w:tcPr>
          <w:p w14:paraId="76EEAA81">
            <w:pPr>
              <w:spacing w:after="0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82" w:type="dxa"/>
          </w:tcPr>
          <w:p w14:paraId="40999BAD">
            <w:pPr>
              <w:spacing w:after="0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82" w:type="dxa"/>
          </w:tcPr>
          <w:p w14:paraId="545659DF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</w:t>
            </w:r>
          </w:p>
        </w:tc>
        <w:tc>
          <w:tcPr>
            <w:tcW w:w="982" w:type="dxa"/>
          </w:tcPr>
          <w:p w14:paraId="68846C3D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</w:t>
            </w:r>
          </w:p>
        </w:tc>
        <w:tc>
          <w:tcPr>
            <w:tcW w:w="982" w:type="dxa"/>
          </w:tcPr>
          <w:p w14:paraId="764E0926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</w:t>
            </w:r>
          </w:p>
        </w:tc>
      </w:tr>
    </w:tbl>
    <w:p w14:paraId="0DA8322F">
      <w:pPr>
        <w:pStyle w:val="5"/>
        <w:rPr>
          <w:rFonts w:hint="default" w:ascii="Times New Roman" w:hAnsi="Times New Roman" w:eastAsia="黑体"/>
          <w:b w:val="0"/>
          <w:bCs w:val="0"/>
          <w:i w:val="0"/>
          <w:color w:val="000000"/>
          <w:sz w:val="21"/>
          <w:lang w:val="en-US" w:eastAsia="zh-CN"/>
        </w:rPr>
      </w:pPr>
      <w:r>
        <w:rPr>
          <w:rFonts w:hint="eastAsia" w:ascii="Times New Roman" w:hAnsi="Times New Roman" w:eastAsia="黑体"/>
          <w:b w:val="0"/>
          <w:bCs w:val="0"/>
          <w:i w:val="0"/>
          <w:color w:val="000000"/>
          <w:sz w:val="21"/>
          <w:lang w:val="en-US" w:eastAsia="zh-CN"/>
        </w:rPr>
        <w:t>弧线权值：</w:t>
      </w:r>
    </w:p>
    <w:tbl>
      <w:tblPr>
        <w:tblStyle w:val="33"/>
        <w:tblW w:w="89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14:paraId="6241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770E70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通道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FCE209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X1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462A5E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X2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98C45C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X3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A89AF9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X4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739E44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X5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9B24D0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X6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9D8844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X7</w:t>
            </w:r>
          </w:p>
        </w:tc>
        <w:tc>
          <w:tcPr>
            <w:tcW w:w="982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B74CCB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X8</w:t>
            </w:r>
          </w:p>
        </w:tc>
      </w:tr>
      <w:tr w14:paraId="43911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</w:tcPr>
          <w:p w14:paraId="7FCDB983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权值</w:t>
            </w:r>
          </w:p>
        </w:tc>
        <w:tc>
          <w:tcPr>
            <w:tcW w:w="982" w:type="dxa"/>
          </w:tcPr>
          <w:p w14:paraId="5E7A599F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-4</w:t>
            </w:r>
          </w:p>
        </w:tc>
        <w:tc>
          <w:tcPr>
            <w:tcW w:w="982" w:type="dxa"/>
          </w:tcPr>
          <w:p w14:paraId="1AE0BC8E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-3</w:t>
            </w:r>
          </w:p>
        </w:tc>
        <w:tc>
          <w:tcPr>
            <w:tcW w:w="982" w:type="dxa"/>
          </w:tcPr>
          <w:p w14:paraId="475F5844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-2</w:t>
            </w:r>
          </w:p>
        </w:tc>
        <w:tc>
          <w:tcPr>
            <w:tcW w:w="982" w:type="dxa"/>
          </w:tcPr>
          <w:p w14:paraId="7FD657DC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</w:t>
            </w:r>
          </w:p>
        </w:tc>
        <w:tc>
          <w:tcPr>
            <w:tcW w:w="982" w:type="dxa"/>
          </w:tcPr>
          <w:p w14:paraId="78753EE5">
            <w:pPr>
              <w:spacing w:after="0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82" w:type="dxa"/>
          </w:tcPr>
          <w:p w14:paraId="3FE72EA4">
            <w:pPr>
              <w:spacing w:after="0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82" w:type="dxa"/>
          </w:tcPr>
          <w:p w14:paraId="687F2336">
            <w:pPr>
              <w:spacing w:after="0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982" w:type="dxa"/>
          </w:tcPr>
          <w:p w14:paraId="264E4F79">
            <w:pPr>
              <w:spacing w:after="0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 w14:paraId="7DE30F7B"/>
    <w:p w14:paraId="303549F5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3.1.2 差速转向与PD控制</w:t>
      </w:r>
    </w:p>
    <w:p w14:paraId="53BCD0DD">
      <w:r>
        <w:rPr>
          <w:rFonts w:ascii="Times New Roman" w:hAnsi="Times New Roman" w:eastAsia="宋体"/>
          <w:b w:val="0"/>
          <w:i w:val="0"/>
          <w:color w:val="000000"/>
          <w:sz w:val="21"/>
        </w:rPr>
        <w:t>循迹控制器根据当前误差及误差变化率计算差速修正量。直线段和弧线段可使用不同的基础速度与参数：</w:t>
      </w:r>
    </w:p>
    <w:p w14:paraId="56E29EF2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Δv(k) = Kₚ·e(k) + K𝒹·[e(k) − e(k−1)] / T</w:t>
      </w:r>
    </w:p>
    <w:p w14:paraId="1FF2F482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vL = v₀ + Δv，    vR = v₀ − Δv</w:t>
      </w:r>
    </w:p>
    <w:p w14:paraId="7314A2E0">
      <w:r>
        <w:rPr>
          <w:rFonts w:ascii="Times New Roman" w:hAnsi="Times New Roman" w:eastAsia="宋体"/>
          <w:b w:val="0"/>
          <w:i w:val="0"/>
          <w:color w:val="000000"/>
          <w:sz w:val="21"/>
        </w:rPr>
        <w:t>其中v₀为当前路段基础速度，T为控制周期。</w:t>
      </w:r>
    </w:p>
    <w:p w14:paraId="1807EFA7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3.1.3 速度闭环</w:t>
      </w:r>
    </w:p>
    <w:p w14:paraId="0F3666BD">
      <w:r>
        <w:rPr>
          <w:rFonts w:ascii="Times New Roman" w:hAnsi="Times New Roman" w:eastAsia="宋体"/>
          <w:b w:val="0"/>
          <w:i w:val="0"/>
          <w:color w:val="000000"/>
          <w:sz w:val="21"/>
        </w:rPr>
        <w:t>编码器速度闭环将目标轮速转换为电机PWM。若采用增量式PI，可写为：</w:t>
      </w:r>
    </w:p>
    <w:p w14:paraId="7B529D11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u(k) = u(k−1) + Kₚᵥ[eᵥ(k)−eᵥ(k−1)] + Kᵢᵥ·eᵥ(k)</w:t>
      </w:r>
    </w:p>
    <w:p w14:paraId="6AD32406">
      <w:pPr>
        <w:rPr>
          <w:rFonts w:hint="default" w:ascii="Times New Roman" w:hAnsi="Times New Roman" w:eastAsia="宋体"/>
          <w:b w:val="0"/>
          <w:i w:val="0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输出u(k)需设置限幅、死区补偿和方向控制。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编码器测速采样周期为100HZ，编码器每圈脉冲数为530，车轮直径65mm，最大PWM为100</w:t>
      </w:r>
    </w:p>
    <w:p w14:paraId="316C6B66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3.1.4 路段状态机与结束判定</w:t>
      </w:r>
    </w:p>
    <w:p w14:paraId="429C6F89">
      <w:r>
        <w:rPr>
          <w:rFonts w:ascii="Times New Roman" w:hAnsi="Times New Roman" w:eastAsia="宋体"/>
          <w:b w:val="0"/>
          <w:i w:val="0"/>
          <w:color w:val="000000"/>
          <w:sz w:val="21"/>
        </w:rPr>
        <w:t>将环路划分为AB直线、BC弧线、CD直线和DA弧线四个状态。红外组合用于识别路段端部特征，编码器距离用于设置解锁保护，MPU累计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转角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用于整圈完成判定。多条件组合可以降低起步或局部黑线造成的误触发。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19BAF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B0EC6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6184F60E"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6E4919E0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［插入图5 小车路段状态机］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建议节点：IDLE→AB→BC→CD→DA→FINISH；在箭头旁写出实际红外组合、距离阈值、角度阈值和超时保护。</w:t>
                  </w:r>
                  <w:r>
                    <w:br w:type="textWrapping"/>
                  </w:r>
                  <w:r>
                    <w:br w:type="textWrapping"/>
                  </w:r>
                  <w:r>
                    <w:br w:type="textWrapping"/>
                  </w:r>
                </w:p>
              </w:tc>
            </w:tr>
          </w:tbl>
          <w:p w14:paraId="077A05EA"/>
          <w:p w14:paraId="15D8ECB0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图5 小车路段状态机</w:t>
            </w:r>
          </w:p>
        </w:tc>
      </w:tr>
    </w:tbl>
    <w:tbl>
      <w:tblPr>
        <w:tblStyle w:val="33"/>
        <w:tblW w:w="8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3204"/>
        <w:gridCol w:w="3513"/>
      </w:tblGrid>
      <w:tr w14:paraId="41D85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9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2EBBAB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转移</w:t>
            </w:r>
          </w:p>
        </w:tc>
        <w:tc>
          <w:tcPr>
            <w:tcW w:w="3204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B4A31F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主要判据</w:t>
            </w:r>
          </w:p>
        </w:tc>
        <w:tc>
          <w:tcPr>
            <w:tcW w:w="3513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D490E6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保护/备用判据</w:t>
            </w:r>
          </w:p>
        </w:tc>
      </w:tr>
      <w:tr w14:paraId="4DF7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9" w:type="dxa"/>
          </w:tcPr>
          <w:p w14:paraId="61EC2E4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IDLE→AB</w:t>
            </w:r>
          </w:p>
        </w:tc>
        <w:tc>
          <w:tcPr>
            <w:tcW w:w="3204" w:type="dxa"/>
          </w:tcPr>
          <w:p w14:paraId="3A1E489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启动按键按下</w:t>
            </w:r>
          </w:p>
        </w:tc>
        <w:tc>
          <w:tcPr>
            <w:tcW w:w="3513" w:type="dxa"/>
          </w:tcPr>
          <w:p w14:paraId="16323AF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完成传感器校准</w:t>
            </w:r>
          </w:p>
        </w:tc>
      </w:tr>
      <w:tr w14:paraId="7BC2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9" w:type="dxa"/>
          </w:tcPr>
          <w:p w14:paraId="1656C87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AB→BC</w:t>
            </w:r>
          </w:p>
        </w:tc>
        <w:tc>
          <w:tcPr>
            <w:tcW w:w="3204" w:type="dxa"/>
          </w:tcPr>
          <w:p w14:paraId="165C5D0B">
            <w:pPr>
              <w:keepNext/>
              <w:spacing w:after="0"/>
              <w:ind w:firstLine="0"/>
              <w:jc w:val="center"/>
            </w:pPr>
            <w:r>
              <w:rPr>
                <w:rFonts w:hint="eastAsia"/>
                <w:sz w:val="16"/>
                <w:szCs w:val="18"/>
              </w:rPr>
              <w:t>最近7帧累计覆盖CH7、CH8</w:t>
            </w:r>
          </w:p>
        </w:tc>
        <w:tc>
          <w:tcPr>
            <w:tcW w:w="3513" w:type="dxa"/>
          </w:tcPr>
          <w:p w14:paraId="293954FC">
            <w:pPr>
              <w:keepNext/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6"/>
                <w:lang w:val="en-US" w:eastAsia="zh-CN"/>
              </w:rPr>
              <w:t>90cm前锁定，220cm强制切换</w:t>
            </w:r>
          </w:p>
        </w:tc>
      </w:tr>
      <w:tr w14:paraId="307F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9" w:type="dxa"/>
          </w:tcPr>
          <w:p w14:paraId="71DF20F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BC→CD</w:t>
            </w:r>
          </w:p>
        </w:tc>
        <w:tc>
          <w:tcPr>
            <w:tcW w:w="3204" w:type="dxa"/>
          </w:tcPr>
          <w:p w14:paraId="0FE2063F">
            <w:pPr>
              <w:keepNext/>
              <w:spacing w:after="0"/>
              <w:ind w:firstLine="0"/>
              <w:jc w:val="center"/>
            </w:pPr>
            <w:r>
              <w:rPr>
                <w:rFonts w:hint="eastAsia"/>
                <w:sz w:val="16"/>
                <w:szCs w:val="18"/>
              </w:rPr>
              <w:t>BC阶段累计转角≥180</w:t>
            </w:r>
            <w:r>
              <w:rPr>
                <w:rFonts w:hint="eastAsia"/>
              </w:rPr>
              <w:t>°</w:t>
            </w:r>
          </w:p>
        </w:tc>
        <w:tc>
          <w:tcPr>
            <w:tcW w:w="3513" w:type="dxa"/>
          </w:tcPr>
          <w:p w14:paraId="79E6ED1C">
            <w:pPr>
              <w:keepNext/>
              <w:spacing w:after="0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74D15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9" w:type="dxa"/>
          </w:tcPr>
          <w:p w14:paraId="464B604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CD→DA</w:t>
            </w:r>
          </w:p>
        </w:tc>
        <w:tc>
          <w:tcPr>
            <w:tcW w:w="3204" w:type="dxa"/>
          </w:tcPr>
          <w:p w14:paraId="3E43FEFB">
            <w:pPr>
              <w:keepNext/>
              <w:spacing w:after="0"/>
              <w:ind w:firstLine="0"/>
              <w:jc w:val="center"/>
            </w:pPr>
            <w:r>
              <w:rPr>
                <w:rFonts w:hint="eastAsia"/>
                <w:sz w:val="16"/>
                <w:szCs w:val="18"/>
              </w:rPr>
              <w:t>最近7帧累计覆盖CH7、CH8</w:t>
            </w:r>
          </w:p>
        </w:tc>
        <w:tc>
          <w:tcPr>
            <w:tcW w:w="3513" w:type="dxa"/>
          </w:tcPr>
          <w:p w14:paraId="0744C1D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CD距离解锁/距离保护</w:t>
            </w:r>
          </w:p>
        </w:tc>
      </w:tr>
      <w:tr w14:paraId="6537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9" w:type="dxa"/>
          </w:tcPr>
          <w:p w14:paraId="2CFC9859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DA→FINISH</w:t>
            </w:r>
          </w:p>
        </w:tc>
        <w:tc>
          <w:tcPr>
            <w:tcW w:w="3204" w:type="dxa"/>
          </w:tcPr>
          <w:p w14:paraId="38C6DFEE">
            <w:pPr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6"/>
                <w:lang w:val="en-US" w:eastAsia="zh-CN"/>
              </w:rPr>
              <w:t>mpu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累计</w:t>
            </w:r>
            <w:r>
              <w:rPr>
                <w:rFonts w:hint="eastAsia"/>
                <w:b w:val="0"/>
                <w:i w:val="0"/>
                <w:color w:val="000000"/>
                <w:sz w:val="16"/>
                <w:lang w:val="en-US" w:eastAsia="zh-CN"/>
              </w:rPr>
              <w:t>转角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达到</w:t>
            </w:r>
            <w:r>
              <w:rPr>
                <w:rFonts w:hint="eastAsia"/>
                <w:b w:val="0"/>
                <w:i w:val="0"/>
                <w:color w:val="000000"/>
                <w:sz w:val="16"/>
                <w:lang w:val="en-US" w:eastAsia="zh-CN"/>
              </w:rPr>
              <w:t>360°</w:t>
            </w:r>
          </w:p>
        </w:tc>
        <w:tc>
          <w:tcPr>
            <w:tcW w:w="3513" w:type="dxa"/>
          </w:tcPr>
          <w:p w14:paraId="7068E23B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启停线或超时保护</w:t>
            </w:r>
          </w:p>
        </w:tc>
      </w:tr>
    </w:tbl>
    <w:p w14:paraId="78DF9D9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 xml:space="preserve">3.2 </w:t>
      </w:r>
      <w:r>
        <w:rPr>
          <w:rFonts w:hint="eastAsia" w:ascii="Times New Roman" w:hAnsi="Times New Roman" w:eastAsia="黑体"/>
          <w:b/>
          <w:i w:val="0"/>
          <w:color w:val="000000"/>
          <w:sz w:val="24"/>
          <w:lang w:val="en-US" w:eastAsia="zh-CN"/>
        </w:rPr>
        <w:t>舵机</w:t>
      </w:r>
      <w:r>
        <w:rPr>
          <w:rFonts w:ascii="Times New Roman" w:hAnsi="Times New Roman" w:eastAsia="黑体"/>
          <w:b/>
          <w:i w:val="0"/>
          <w:color w:val="000000"/>
          <w:sz w:val="24"/>
        </w:rPr>
        <w:t>—钢球系统控制理论</w:t>
      </w:r>
    </w:p>
    <w:p w14:paraId="4C37233A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3.2.1 钢球动力学模型</w:t>
      </w:r>
    </w:p>
    <w:p w14:paraId="7FB64F54">
      <w:r>
        <w:rPr>
          <w:rFonts w:ascii="Times New Roman" w:hAnsi="Times New Roman" w:eastAsia="宋体"/>
          <w:b w:val="0"/>
          <w:i w:val="0"/>
          <w:color w:val="000000"/>
          <w:sz w:val="21"/>
        </w:rPr>
        <w:t>将钢球视为在倾斜凹槽中纯滚动的实心球。忽略滚动阻力与槽形高阶影响，沿摆杆方向的加速度近似为：</w:t>
      </w:r>
    </w:p>
    <w:p w14:paraId="542042B1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ẍ = (5/7)g·sinθ ≈ (5/7)g·θ</w:t>
      </w:r>
    </w:p>
    <w:p w14:paraId="2230C0AF">
      <w:r>
        <w:rPr>
          <w:rFonts w:ascii="Times New Roman" w:hAnsi="Times New Roman" w:eastAsia="宋体"/>
          <w:b w:val="0"/>
          <w:i w:val="0"/>
          <w:color w:val="000000"/>
          <w:sz w:val="21"/>
        </w:rPr>
        <w:t>其中x为钢球相对摆杆中心O的位移，θ为摆杆小角度倾角。该对象本质上具有双积分特性，控制器需限制倾角并抑制超调。实际凹槽截面、执行机构回差和车体运动会造成模型误差，应通过实验辨识修正。</w:t>
      </w:r>
    </w:p>
    <w:p w14:paraId="0DC8D4A6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3.2.2 像素坐标到实际位置</w:t>
      </w:r>
    </w:p>
    <w:p w14:paraId="4FE6C0B9">
      <w:r>
        <w:rPr>
          <w:rFonts w:ascii="Times New Roman" w:hAnsi="Times New Roman" w:eastAsia="宋体"/>
          <w:b w:val="0"/>
          <w:i w:val="0"/>
          <w:color w:val="000000"/>
          <w:sz w:val="21"/>
        </w:rPr>
        <w:t>在摆杆刻度上选取多个已知位置，记录钢球圆心像素u，采用线性或分段线性标定：</w:t>
      </w:r>
    </w:p>
    <w:p w14:paraId="6A3F08B1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x = k·(u − u₀) + b</w:t>
      </w:r>
    </w:p>
    <w:p w14:paraId="354CFB5C">
      <w:r>
        <w:rPr>
          <w:rFonts w:ascii="Times New Roman" w:hAnsi="Times New Roman" w:eastAsia="宋体"/>
          <w:b w:val="0"/>
          <w:i w:val="0"/>
          <w:color w:val="000000"/>
          <w:sz w:val="21"/>
        </w:rPr>
        <w:t>其中u₀为O点像素坐标。若透视畸变明显，可使用多点二次拟合或单应性变换。标定后应给出均方误差和最大误差。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000"/>
        <w:gridCol w:w="1000"/>
        <w:gridCol w:w="1000"/>
        <w:gridCol w:w="1000"/>
        <w:gridCol w:w="1000"/>
        <w:gridCol w:w="2457"/>
      </w:tblGrid>
      <w:tr w14:paraId="3511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5F7859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标定位置/cm</w:t>
            </w:r>
          </w:p>
        </w:tc>
        <w:tc>
          <w:tcPr>
            <w:tcW w:w="10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AD89D2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−10</w:t>
            </w:r>
          </w:p>
        </w:tc>
        <w:tc>
          <w:tcPr>
            <w:tcW w:w="10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02B9AE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−5</w:t>
            </w:r>
          </w:p>
        </w:tc>
        <w:tc>
          <w:tcPr>
            <w:tcW w:w="10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364130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0</w:t>
            </w:r>
          </w:p>
        </w:tc>
        <w:tc>
          <w:tcPr>
            <w:tcW w:w="10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F6A490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+5</w:t>
            </w:r>
          </w:p>
        </w:tc>
        <w:tc>
          <w:tcPr>
            <w:tcW w:w="10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8943FA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+10</w:t>
            </w:r>
          </w:p>
        </w:tc>
        <w:tc>
          <w:tcPr>
            <w:tcW w:w="245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8F3AD0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最大残差/cm</w:t>
            </w:r>
          </w:p>
        </w:tc>
      </w:tr>
      <w:tr w14:paraId="347B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</w:tcPr>
          <w:p w14:paraId="1C58FD9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像素u</w:t>
            </w:r>
          </w:p>
        </w:tc>
        <w:tc>
          <w:tcPr>
            <w:tcW w:w="1000" w:type="dxa"/>
          </w:tcPr>
          <w:p w14:paraId="62E9539B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［填］</w:t>
            </w:r>
          </w:p>
        </w:tc>
        <w:tc>
          <w:tcPr>
            <w:tcW w:w="1000" w:type="dxa"/>
          </w:tcPr>
          <w:p w14:paraId="0CDF3C7D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［填］</w:t>
            </w:r>
          </w:p>
        </w:tc>
        <w:tc>
          <w:tcPr>
            <w:tcW w:w="1000" w:type="dxa"/>
          </w:tcPr>
          <w:p w14:paraId="1C21B54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［填］</w:t>
            </w:r>
          </w:p>
        </w:tc>
        <w:tc>
          <w:tcPr>
            <w:tcW w:w="1000" w:type="dxa"/>
          </w:tcPr>
          <w:p w14:paraId="7FC1FC70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［填］</w:t>
            </w:r>
          </w:p>
        </w:tc>
        <w:tc>
          <w:tcPr>
            <w:tcW w:w="1000" w:type="dxa"/>
          </w:tcPr>
          <w:p w14:paraId="6B14F2C0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［填］</w:t>
            </w:r>
          </w:p>
        </w:tc>
        <w:tc>
          <w:tcPr>
            <w:tcW w:w="2457" w:type="dxa"/>
          </w:tcPr>
          <w:p w14:paraId="49A928C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［填］</w:t>
            </w:r>
          </w:p>
        </w:tc>
      </w:tr>
    </w:tbl>
    <w:p w14:paraId="1E4F6C89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3.2.3 钢球位置闭环</w:t>
      </w:r>
    </w:p>
    <w:p w14:paraId="4102EBB2">
      <w:r>
        <w:rPr>
          <w:rFonts w:ascii="Times New Roman" w:hAnsi="Times New Roman" w:eastAsia="宋体"/>
          <w:b w:val="0"/>
          <w:i w:val="0"/>
          <w:color w:val="000000"/>
          <w:sz w:val="21"/>
        </w:rPr>
        <w:t>设定位置为xᵣ，视觉测得位置为x，则位置误差eₓ=xᵣ−x。外环根据位置误差计算目标摆杆角度，执行机构再跟踪目标角度：</w:t>
      </w:r>
    </w:p>
    <w:p w14:paraId="6548F241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θ* = Kₚₓeₓ + Kᵢₓ∫eₓdt + K𝒹ₓdeₓ/dt</w:t>
      </w:r>
    </w:p>
    <w:p w14:paraId="4DCA90E5">
      <w:r>
        <w:rPr>
          <w:rFonts w:ascii="Times New Roman" w:hAnsi="Times New Roman" w:eastAsia="宋体"/>
          <w:b w:val="0"/>
          <w:i w:val="0"/>
          <w:color w:val="000000"/>
          <w:sz w:val="21"/>
        </w:rPr>
        <w:t>应对θ*、角速度及积分项限幅，并对视觉位置进行低通滤波。静止往返测试可采用分段设定点O→+5 cm→−5 cm；行驶测试则令xᵣ为0或任意指定位置。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73255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4B8AB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2BEB4054"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627FD13B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［插入图6 钢球位置闭环框图］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xᵣ→位置控制器→目标摆杆角度→执行机构/摆杆/钢球→摄像头测量→反馈。</w:t>
                  </w:r>
                  <w:r>
                    <w:br w:type="textWrapping"/>
                  </w:r>
                </w:p>
              </w:tc>
            </w:tr>
          </w:tbl>
          <w:p w14:paraId="7C820B86"/>
          <w:p w14:paraId="513ECC8E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图6 钢球位置闭环框图</w:t>
            </w:r>
          </w:p>
        </w:tc>
      </w:tr>
    </w:tbl>
    <w:p w14:paraId="3E0E2DDB">
      <w:pPr>
        <w:pStyle w:val="5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3.2.4 车体运动扰动补偿</w:t>
      </w:r>
    </w:p>
    <w:p w14:paraId="65D77859">
      <w:r>
        <w:rPr>
          <w:rFonts w:ascii="Times New Roman" w:hAnsi="Times New Roman" w:eastAsia="宋体"/>
          <w:b w:val="0"/>
          <w:i w:val="0"/>
          <w:color w:val="000000"/>
          <w:sz w:val="21"/>
        </w:rPr>
        <w:t>小车纵向加速度和转弯振动会作为外扰作用于钢球。可利用编码器速度变化或IMU加速度构造前馈补偿θff，最终目标角度为θcmd=θPID+θff。</w:t>
      </w:r>
    </w:p>
    <w:p w14:paraId="0333504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3.3 参数整定与误差指标</w:t>
      </w:r>
    </w:p>
    <w:p w14:paraId="07DF3193">
      <w:r>
        <w:rPr>
          <w:rFonts w:ascii="Times New Roman" w:hAnsi="Times New Roman" w:eastAsia="宋体"/>
          <w:b w:val="0"/>
          <w:i w:val="0"/>
          <w:color w:val="000000"/>
          <w:sz w:val="21"/>
        </w:rPr>
        <w:t>循迹控制先在低速下确认误差方向，再逐步提高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KP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直至能够跟线，增加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KD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抑制蛇形，最后提高基础速度；直线和弧线分别整定。滚球控制先限制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齿条上下移动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最大角度，在静止平台上整定位置环，再加入车体运动扰动。</w:t>
      </w:r>
    </w:p>
    <w:p w14:paraId="6CA52C22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最大绝对误差 Emax = max |x(k) − xᵣ(k)|</w:t>
      </w:r>
    </w:p>
    <w:p w14:paraId="72656A1D">
      <w:pPr>
        <w:pStyle w:val="165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停车偏差 Estop = |s车体基准位置 − sA基准线|</w:t>
      </w:r>
    </w:p>
    <w:p w14:paraId="1A86B79D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 电路设计与程序实现</w:t>
      </w:r>
    </w:p>
    <w:p w14:paraId="1ECB76E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4.1 硬件电路</w:t>
      </w:r>
    </w:p>
    <w:p w14:paraId="6CE2C103">
      <w:r>
        <w:rPr>
          <w:rFonts w:ascii="Times New Roman" w:hAnsi="Times New Roman" w:eastAsia="宋体"/>
          <w:b w:val="0"/>
          <w:i w:val="0"/>
          <w:color w:val="000000"/>
          <w:sz w:val="21"/>
        </w:rPr>
        <w:t>硬件部分应至少给出主控最小系统、电机驱动、编码器、八路红外、MPU6050、视觉通信、摆杆执行机构、按键、OLED/数码管和电源接口。原理图需标注电压、接口名称、关键上拉/滤波元件以及各模块共地关系。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36F83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E2D54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544AB7C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116BD190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［插入图7 控制系统原理图］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插入清晰原理图；若图过大，可拆分为主控与传感器、电机与执行机构、电源三张。</w:t>
                  </w:r>
                  <w:r>
                    <w:br w:type="textWrapping"/>
                  </w:r>
                  <w:r>
                    <w:br w:type="textWrapping"/>
                  </w:r>
                </w:p>
              </w:tc>
            </w:tr>
          </w:tbl>
          <w:p w14:paraId="4E3F0775"/>
          <w:p w14:paraId="4956131C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图7 控制系统原理图</w:t>
            </w:r>
          </w:p>
        </w:tc>
      </w:tr>
    </w:tbl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800"/>
        <w:gridCol w:w="1650"/>
        <w:gridCol w:w="1150"/>
        <w:gridCol w:w="3007"/>
      </w:tblGrid>
      <w:tr w14:paraId="338C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99DD59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模块</w:t>
            </w:r>
          </w:p>
        </w:tc>
        <w:tc>
          <w:tcPr>
            <w:tcW w:w="18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1DBD5C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实际器件/型号</w:t>
            </w:r>
          </w:p>
        </w:tc>
        <w:tc>
          <w:tcPr>
            <w:tcW w:w="16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F78A6C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主要接口</w:t>
            </w:r>
          </w:p>
        </w:tc>
        <w:tc>
          <w:tcPr>
            <w:tcW w:w="11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AAB836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供电</w:t>
            </w:r>
          </w:p>
        </w:tc>
        <w:tc>
          <w:tcPr>
            <w:tcW w:w="30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8C77C4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说明</w:t>
            </w:r>
          </w:p>
        </w:tc>
      </w:tr>
      <w:tr w14:paraId="015F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412297A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主</w:t>
            </w:r>
            <w:r>
              <w:rPr>
                <w:rFonts w:ascii="Times New Roman" w:hAnsi="Times New Roman" w:eastAsia="宋体"/>
                <w:b w:val="0"/>
                <w:i w:val="0"/>
                <w:color w:val="auto"/>
                <w:sz w:val="16"/>
              </w:rPr>
              <w:t>控制器</w:t>
            </w:r>
          </w:p>
        </w:tc>
        <w:tc>
          <w:tcPr>
            <w:tcW w:w="1800" w:type="dxa"/>
          </w:tcPr>
          <w:p w14:paraId="1A7B8401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6"/>
                <w:szCs w:val="18"/>
                <w:lang w:val="en-US" w:eastAsia="zh-CN"/>
              </w:rPr>
              <w:t>MSPM0G3507</w:t>
            </w:r>
          </w:p>
        </w:tc>
        <w:tc>
          <w:tcPr>
            <w:tcW w:w="1650" w:type="dxa"/>
          </w:tcPr>
          <w:p w14:paraId="022D2233">
            <w:pPr>
              <w:keepNext/>
              <w:spacing w:after="0"/>
              <w:ind w:firstLine="0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i w:val="0"/>
                <w:iCs/>
                <w:color w:val="auto"/>
                <w:sz w:val="16"/>
                <w:szCs w:val="16"/>
                <w:lang w:val="en-US" w:eastAsia="zh-CN"/>
              </w:rPr>
              <w:t>GPIO和UART</w:t>
            </w:r>
          </w:p>
        </w:tc>
        <w:tc>
          <w:tcPr>
            <w:tcW w:w="1150" w:type="dxa"/>
          </w:tcPr>
          <w:p w14:paraId="5290E729">
            <w:pPr>
              <w:keepNext/>
              <w:spacing w:after="0"/>
              <w:ind w:firstLine="0"/>
              <w:jc w:val="center"/>
              <w:rPr>
                <w:rFonts w:hint="default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6"/>
                <w:lang w:val="en-US" w:eastAsia="zh-CN"/>
              </w:rPr>
              <w:t>5V</w:t>
            </w:r>
          </w:p>
        </w:tc>
        <w:tc>
          <w:tcPr>
            <w:tcW w:w="3007" w:type="dxa"/>
          </w:tcPr>
          <w:p w14:paraId="06ADE4C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控制与任务调度</w:t>
            </w:r>
          </w:p>
        </w:tc>
      </w:tr>
      <w:tr w14:paraId="7C5D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237DDB9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电机驱动</w:t>
            </w:r>
          </w:p>
        </w:tc>
        <w:tc>
          <w:tcPr>
            <w:tcW w:w="1800" w:type="dxa"/>
          </w:tcPr>
          <w:p w14:paraId="098717C6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6"/>
                <w:szCs w:val="18"/>
                <w:lang w:val="en-US" w:eastAsia="zh-CN"/>
              </w:rPr>
              <w:t>TB6612</w:t>
            </w:r>
          </w:p>
        </w:tc>
        <w:tc>
          <w:tcPr>
            <w:tcW w:w="1650" w:type="dxa"/>
          </w:tcPr>
          <w:p w14:paraId="209AA934">
            <w:pPr>
              <w:keepNext/>
              <w:spacing w:after="0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  <w:szCs w:val="16"/>
              </w:rPr>
              <w:t>PWM+方向</w:t>
            </w:r>
          </w:p>
        </w:tc>
        <w:tc>
          <w:tcPr>
            <w:tcW w:w="1150" w:type="dxa"/>
          </w:tcPr>
          <w:p w14:paraId="6797E6F6">
            <w:pPr>
              <w:keepNext/>
              <w:spacing w:after="0"/>
              <w:ind w:firstLine="0"/>
              <w:jc w:val="center"/>
              <w:rPr>
                <w:rFonts w:hint="default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6"/>
                <w:lang w:val="en-US" w:eastAsia="zh-CN"/>
              </w:rPr>
              <w:t>12V</w:t>
            </w:r>
          </w:p>
        </w:tc>
        <w:tc>
          <w:tcPr>
            <w:tcW w:w="3007" w:type="dxa"/>
          </w:tcPr>
          <w:p w14:paraId="4C1E8E7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四轮驱动</w:t>
            </w:r>
          </w:p>
        </w:tc>
      </w:tr>
      <w:tr w14:paraId="102B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6DB00AC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循迹模块</w:t>
            </w:r>
          </w:p>
        </w:tc>
        <w:tc>
          <w:tcPr>
            <w:tcW w:w="1800" w:type="dxa"/>
          </w:tcPr>
          <w:p w14:paraId="2E51FD64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</w:pPr>
            <w:r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  <w:t>八路红外光电</w:t>
            </w:r>
          </w:p>
        </w:tc>
        <w:tc>
          <w:tcPr>
            <w:tcW w:w="1650" w:type="dxa"/>
          </w:tcPr>
          <w:p w14:paraId="5163AE4F">
            <w:pPr>
              <w:keepNext/>
              <w:spacing w:after="0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  <w:szCs w:val="16"/>
              </w:rPr>
              <w:t>8×GPIO</w:t>
            </w:r>
          </w:p>
        </w:tc>
        <w:tc>
          <w:tcPr>
            <w:tcW w:w="1150" w:type="dxa"/>
          </w:tcPr>
          <w:p w14:paraId="0BD31085">
            <w:pPr>
              <w:keepNext/>
              <w:spacing w:after="0"/>
              <w:ind w:firstLine="0"/>
              <w:jc w:val="center"/>
              <w:rPr>
                <w:rFonts w:hint="default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6"/>
                <w:lang w:val="en-US" w:eastAsia="zh-CN"/>
              </w:rPr>
              <w:t>5V</w:t>
            </w:r>
          </w:p>
        </w:tc>
        <w:tc>
          <w:tcPr>
            <w:tcW w:w="3007" w:type="dxa"/>
          </w:tcPr>
          <w:p w14:paraId="3A86FF3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仅用于黑线循迹</w:t>
            </w:r>
          </w:p>
        </w:tc>
      </w:tr>
      <w:tr w14:paraId="509A5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2" w:hRule="atLeast"/>
        </w:trPr>
        <w:tc>
          <w:tcPr>
            <w:tcW w:w="1350" w:type="dxa"/>
          </w:tcPr>
          <w:p w14:paraId="1474D69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惯性测量</w:t>
            </w:r>
          </w:p>
        </w:tc>
        <w:tc>
          <w:tcPr>
            <w:tcW w:w="1800" w:type="dxa"/>
          </w:tcPr>
          <w:p w14:paraId="66FA5F2C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</w:pPr>
            <w:r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  <w:t>MPU6050</w:t>
            </w:r>
          </w:p>
        </w:tc>
        <w:tc>
          <w:tcPr>
            <w:tcW w:w="1650" w:type="dxa"/>
          </w:tcPr>
          <w:p w14:paraId="0A4C396B">
            <w:pPr>
              <w:keepNext/>
              <w:spacing w:after="0"/>
              <w:ind w:firstLine="0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  <w:szCs w:val="16"/>
              </w:rPr>
              <w:t>I²C</w:t>
            </w:r>
          </w:p>
        </w:tc>
        <w:tc>
          <w:tcPr>
            <w:tcW w:w="1150" w:type="dxa"/>
          </w:tcPr>
          <w:p w14:paraId="0E06C609">
            <w:pPr>
              <w:keepNext/>
              <w:spacing w:after="0"/>
              <w:ind w:firstLine="0"/>
              <w:jc w:val="center"/>
              <w:rPr>
                <w:rFonts w:hint="default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6"/>
                <w:lang w:val="en-US" w:eastAsia="zh-CN"/>
              </w:rPr>
              <w:t>5V</w:t>
            </w:r>
          </w:p>
        </w:tc>
        <w:tc>
          <w:tcPr>
            <w:tcW w:w="3007" w:type="dxa"/>
          </w:tcPr>
          <w:p w14:paraId="492156E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角度与加速度</w:t>
            </w:r>
          </w:p>
        </w:tc>
      </w:tr>
      <w:tr w14:paraId="620C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7069C06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滚球视觉</w:t>
            </w:r>
          </w:p>
        </w:tc>
        <w:tc>
          <w:tcPr>
            <w:tcW w:w="1800" w:type="dxa"/>
          </w:tcPr>
          <w:p w14:paraId="5758BFD3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8"/>
                <w:lang w:val="en-US" w:eastAsia="zh-CN"/>
              </w:rPr>
              <w:t>泰山派</w:t>
            </w:r>
          </w:p>
        </w:tc>
        <w:tc>
          <w:tcPr>
            <w:tcW w:w="1650" w:type="dxa"/>
          </w:tcPr>
          <w:p w14:paraId="47D33F35">
            <w:pPr>
              <w:keepNext/>
              <w:spacing w:after="0"/>
              <w:ind w:firstLine="0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6"/>
                <w:szCs w:val="16"/>
                <w:lang w:val="en-US" w:eastAsia="zh-CN"/>
              </w:rPr>
              <w:t>UART SPI</w:t>
            </w:r>
          </w:p>
        </w:tc>
        <w:tc>
          <w:tcPr>
            <w:tcW w:w="1150" w:type="dxa"/>
          </w:tcPr>
          <w:p w14:paraId="0C15E6CA">
            <w:pPr>
              <w:keepNext/>
              <w:spacing w:after="0"/>
              <w:ind w:firstLine="0"/>
              <w:jc w:val="center"/>
              <w:rPr>
                <w:rFonts w:hint="default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6"/>
                <w:lang w:val="en-US" w:eastAsia="zh-CN"/>
              </w:rPr>
              <w:t>5V</w:t>
            </w:r>
          </w:p>
        </w:tc>
        <w:tc>
          <w:tcPr>
            <w:tcW w:w="3007" w:type="dxa"/>
          </w:tcPr>
          <w:p w14:paraId="28B0BDA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输出钢球坐标</w:t>
            </w:r>
          </w:p>
        </w:tc>
      </w:tr>
      <w:tr w14:paraId="47A4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45E2072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摆杆执行</w:t>
            </w:r>
          </w:p>
        </w:tc>
        <w:tc>
          <w:tcPr>
            <w:tcW w:w="1800" w:type="dxa"/>
          </w:tcPr>
          <w:p w14:paraId="428FB493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6"/>
                <w:szCs w:val="18"/>
                <w:lang w:val="en-US" w:eastAsia="zh-CN"/>
              </w:rPr>
              <w:t>舵机+齿轮</w:t>
            </w:r>
          </w:p>
        </w:tc>
        <w:tc>
          <w:tcPr>
            <w:tcW w:w="1650" w:type="dxa"/>
          </w:tcPr>
          <w:p w14:paraId="58733ECB">
            <w:pPr>
              <w:keepNext/>
              <w:spacing w:after="0"/>
              <w:ind w:firstLine="0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6"/>
                <w:szCs w:val="16"/>
                <w:lang w:val="en-US" w:eastAsia="zh-CN"/>
              </w:rPr>
              <w:t>PWM</w:t>
            </w:r>
          </w:p>
        </w:tc>
        <w:tc>
          <w:tcPr>
            <w:tcW w:w="1150" w:type="dxa"/>
          </w:tcPr>
          <w:p w14:paraId="3350FE12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6"/>
                <w:lang w:val="en-US" w:eastAsia="zh-CN"/>
              </w:rPr>
              <w:t>5V</w:t>
            </w:r>
          </w:p>
        </w:tc>
        <w:tc>
          <w:tcPr>
            <w:tcW w:w="3007" w:type="dxa"/>
          </w:tcPr>
          <w:p w14:paraId="1C1BA39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控制摆杆倾角</w:t>
            </w:r>
          </w:p>
        </w:tc>
      </w:tr>
      <w:tr w14:paraId="33BF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3779FDB3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显示</w:t>
            </w:r>
          </w:p>
        </w:tc>
        <w:tc>
          <w:tcPr>
            <w:tcW w:w="1800" w:type="dxa"/>
          </w:tcPr>
          <w:p w14:paraId="64D4DA48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</w:pPr>
            <w:r>
              <w:rPr>
                <w:rFonts w:hint="default" w:eastAsia="宋体"/>
                <w:b w:val="0"/>
                <w:sz w:val="16"/>
                <w:szCs w:val="18"/>
                <w:lang w:val="en-US" w:eastAsia="zh-CN"/>
              </w:rPr>
              <w:t>OLED+数码管</w:t>
            </w:r>
          </w:p>
        </w:tc>
        <w:tc>
          <w:tcPr>
            <w:tcW w:w="1650" w:type="dxa"/>
          </w:tcPr>
          <w:p w14:paraId="7BC787E3">
            <w:pPr>
              <w:spacing w:after="0"/>
              <w:ind w:firstLine="0"/>
              <w:jc w:val="center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SPI</w:t>
            </w:r>
          </w:p>
        </w:tc>
        <w:tc>
          <w:tcPr>
            <w:tcW w:w="1150" w:type="dxa"/>
          </w:tcPr>
          <w:p w14:paraId="2A64B5A8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b w:val="0"/>
                <w:sz w:val="16"/>
                <w:szCs w:val="16"/>
                <w:lang w:val="en-US" w:eastAsia="zh-CN"/>
              </w:rPr>
              <w:t>5V</w:t>
            </w:r>
          </w:p>
        </w:tc>
        <w:tc>
          <w:tcPr>
            <w:tcW w:w="3007" w:type="dxa"/>
          </w:tcPr>
          <w:p w14:paraId="5D53B1E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状态与计时</w:t>
            </w:r>
          </w:p>
        </w:tc>
      </w:tr>
    </w:tbl>
    <w:p w14:paraId="37DDF422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4.2 软件总体流程</w:t>
      </w:r>
    </w:p>
    <w:p w14:paraId="0F0B7367">
      <w:r>
        <w:rPr>
          <w:rFonts w:ascii="Times New Roman" w:hAnsi="Times New Roman" w:eastAsia="宋体"/>
          <w:b w:val="0"/>
          <w:i w:val="0"/>
          <w:color w:val="000000"/>
          <w:sz w:val="21"/>
        </w:rPr>
        <w:t>系统上电后完成GPIO、定时器、显示、编码器、IMU和视觉通信初始化，并执行静态零偏校准。待机时选择测试模式；按键启动后清零计时、编码器与累计角度，进入对应状态机。控制周期中分别运行循迹/速度控制和滚球位置控制，显示任务时间，满足结束条件后停止电机与计时并保留最终结果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2B008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F97B2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33B425EC"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5D50D107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［插入图8 主程序流程图］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初始化→静态校准→按键选择→清零计时→周期控制→状态判断→停止电机与计时→显示结果。</w:t>
                  </w:r>
                  <w:r>
                    <w:br w:type="textWrapping"/>
                  </w:r>
                  <w:r>
                    <w:br w:type="textWrapping"/>
                  </w:r>
                  <w:r>
                    <w:br w:type="textWrapping"/>
                  </w:r>
                </w:p>
              </w:tc>
            </w:tr>
          </w:tbl>
          <w:p w14:paraId="737C5478"/>
          <w:p w14:paraId="25FEBCC7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图8 主程序流程图</w:t>
            </w:r>
          </w:p>
        </w:tc>
      </w:tr>
    </w:tbl>
    <w:p w14:paraId="6E114B8B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4.3 小车任务状态机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500"/>
        <w:gridCol w:w="2100"/>
        <w:gridCol w:w="1950"/>
        <w:gridCol w:w="1207"/>
      </w:tblGrid>
      <w:tr w14:paraId="7585D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C7F300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模式/按键</w:t>
            </w:r>
          </w:p>
        </w:tc>
        <w:tc>
          <w:tcPr>
            <w:tcW w:w="25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49977D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目标任务</w:t>
            </w:r>
          </w:p>
        </w:tc>
        <w:tc>
          <w:tcPr>
            <w:tcW w:w="21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957FC5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启动动作</w:t>
            </w:r>
          </w:p>
        </w:tc>
        <w:tc>
          <w:tcPr>
            <w:tcW w:w="19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807EC5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结束条件</w:t>
            </w:r>
          </w:p>
        </w:tc>
        <w:tc>
          <w:tcPr>
            <w:tcW w:w="12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FEEDA5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显示内容</w:t>
            </w:r>
          </w:p>
        </w:tc>
      </w:tr>
      <w:tr w14:paraId="3109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</w:tcPr>
          <w:p w14:paraId="5BFB752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KEY1</w:t>
            </w:r>
          </w:p>
        </w:tc>
        <w:tc>
          <w:tcPr>
            <w:tcW w:w="2500" w:type="dxa"/>
          </w:tcPr>
          <w:p w14:paraId="34F7B70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一圈并停到A点</w:t>
            </w:r>
          </w:p>
        </w:tc>
        <w:tc>
          <w:tcPr>
            <w:tcW w:w="2100" w:type="dxa"/>
          </w:tcPr>
          <w:p w14:paraId="3228D42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清零计时/角度/里程</w:t>
            </w:r>
          </w:p>
        </w:tc>
        <w:tc>
          <w:tcPr>
            <w:tcW w:w="1950" w:type="dxa"/>
          </w:tcPr>
          <w:p w14:paraId="04E00046">
            <w:pPr>
              <w:keepNext/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陀螺仪累计转角360°</w:t>
            </w:r>
          </w:p>
        </w:tc>
        <w:tc>
          <w:tcPr>
            <w:tcW w:w="1207" w:type="dxa"/>
          </w:tcPr>
          <w:p w14:paraId="61F86F5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运行时间与状态</w:t>
            </w:r>
          </w:p>
        </w:tc>
      </w:tr>
      <w:tr w14:paraId="5C30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</w:tcPr>
          <w:p w14:paraId="4785BD3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KEY2</w:t>
            </w:r>
          </w:p>
        </w:tc>
        <w:tc>
          <w:tcPr>
            <w:tcW w:w="2500" w:type="dxa"/>
          </w:tcPr>
          <w:p w14:paraId="40E6AAB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A到B</w:t>
            </w:r>
          </w:p>
        </w:tc>
        <w:tc>
          <w:tcPr>
            <w:tcW w:w="2100" w:type="dxa"/>
          </w:tcPr>
          <w:p w14:paraId="3D10A5B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清零计时/斜坡起步</w:t>
            </w:r>
          </w:p>
        </w:tc>
        <w:tc>
          <w:tcPr>
            <w:tcW w:w="1950" w:type="dxa"/>
          </w:tcPr>
          <w:p w14:paraId="786B3C6F">
            <w:pPr>
              <w:keepNext/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16"/>
                <w:lang w:val="en-US" w:eastAsia="zh-CN"/>
              </w:rPr>
              <w:t>不结束，一直加速</w:t>
            </w:r>
          </w:p>
        </w:tc>
        <w:tc>
          <w:tcPr>
            <w:tcW w:w="1207" w:type="dxa"/>
          </w:tcPr>
          <w:p w14:paraId="5D0E023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AB时间与触发类型</w:t>
            </w:r>
          </w:p>
        </w:tc>
      </w:tr>
      <w:tr w14:paraId="4857E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</w:tcPr>
          <w:p w14:paraId="76EBCE8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KEY3</w:t>
            </w:r>
          </w:p>
        </w:tc>
        <w:tc>
          <w:tcPr>
            <w:tcW w:w="2500" w:type="dxa"/>
          </w:tcPr>
          <w:p w14:paraId="2740A49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慢速一圈</w:t>
            </w:r>
          </w:p>
        </w:tc>
        <w:tc>
          <w:tcPr>
            <w:tcW w:w="2100" w:type="dxa"/>
          </w:tcPr>
          <w:p w14:paraId="036B107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清零计时/斜坡起步</w:t>
            </w:r>
          </w:p>
        </w:tc>
        <w:tc>
          <w:tcPr>
            <w:tcW w:w="1950" w:type="dxa"/>
          </w:tcPr>
          <w:p w14:paraId="40B733E7">
            <w:pPr>
              <w:keepNext/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陀螺仪累计转角350°</w:t>
            </w:r>
          </w:p>
        </w:tc>
        <w:tc>
          <w:tcPr>
            <w:tcW w:w="1207" w:type="dxa"/>
          </w:tcPr>
          <w:p w14:paraId="562E008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运行时间与状态</w:t>
            </w:r>
          </w:p>
        </w:tc>
      </w:tr>
    </w:tbl>
    <w:p w14:paraId="5B7337A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4.4 循迹与速度控制程序</w:t>
      </w:r>
    </w:p>
    <w:p w14:paraId="3304E8B1">
      <w:r>
        <w:rPr>
          <w:rFonts w:ascii="Times New Roman" w:hAnsi="Times New Roman" w:eastAsia="宋体"/>
          <w:b w:val="0"/>
          <w:i w:val="0"/>
          <w:color w:val="000000"/>
          <w:sz w:val="21"/>
        </w:rPr>
        <w:t>循迹任务以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10ms为周期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运行：读取X1～X8，进行有效通道处理和误差滤波，按当前路段选择直线或弧线参数，计算左右轮目标速度并交给速度环。状态切换只在距离解锁后累计红外特征，避免A点或局部黑线提前触发。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1E7A2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8EE3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6B1288F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679A5A14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［插入图9 循迹控制流程图］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采样→有效性处理→加权误差→滤波→路段参数→PD差速→目标限幅/斜坡→速度环。</w:t>
                  </w:r>
                  <w:r>
                    <w:br w:type="textWrapping"/>
                  </w:r>
                </w:p>
              </w:tc>
            </w:tr>
          </w:tbl>
          <w:p w14:paraId="79ACF594"/>
          <w:p w14:paraId="1522D4AE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图9 循迹控制流程图</w:t>
            </w:r>
          </w:p>
        </w:tc>
      </w:tr>
    </w:tbl>
    <w:p w14:paraId="639553F3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4.5 钢球视觉与控制程序</w:t>
      </w:r>
    </w:p>
    <w:p w14:paraId="68D1E3D9">
      <w:r>
        <w:rPr>
          <w:rFonts w:ascii="Times New Roman" w:hAnsi="Times New Roman" w:eastAsia="宋体"/>
          <w:b w:val="0"/>
          <w:i w:val="0"/>
          <w:color w:val="000000"/>
          <w:sz w:val="21"/>
        </w:rPr>
        <w:t>视觉端输出钢球圆心及有效标志；主控对丢帧、异常坐标和通信超时进行处理。位置控制任务在新坐标到达时更新误差，对位置与微分项滤波后计算目标倾角。测试程序记录时间戳、设定位置、实测位置和控制输出，用于绘制误差曲线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63831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E8D78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1E4A8C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34362331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［插入图10 钢球检测与控制流程图］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图像采集→ROI→分割/轮廓→坐标标定→滤波→PID→倾角限幅→执行机构。</w:t>
                  </w:r>
                  <w:r>
                    <w:br w:type="textWrapping"/>
                  </w:r>
                </w:p>
              </w:tc>
            </w:tr>
          </w:tbl>
          <w:p w14:paraId="5A3B6010"/>
          <w:p w14:paraId="09E746E5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图10 钢球检测与控制流程图</w:t>
            </w:r>
          </w:p>
        </w:tc>
      </w:tr>
    </w:tbl>
    <w:p w14:paraId="5F50B0C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4.6 关键参数汇总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900"/>
        <w:gridCol w:w="1550"/>
        <w:gridCol w:w="2807"/>
      </w:tblGrid>
      <w:tr w14:paraId="08B5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C262AC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参数</w:t>
            </w:r>
          </w:p>
        </w:tc>
        <w:tc>
          <w:tcPr>
            <w:tcW w:w="19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FF837A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数值</w:t>
            </w:r>
          </w:p>
        </w:tc>
        <w:tc>
          <w:tcPr>
            <w:tcW w:w="15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A8312A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单位</w:t>
            </w:r>
          </w:p>
        </w:tc>
        <w:tc>
          <w:tcPr>
            <w:tcW w:w="28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CF33B7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备注</w:t>
            </w:r>
          </w:p>
        </w:tc>
      </w:tr>
      <w:tr w14:paraId="76A7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2AC00B3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循迹控制周期</w:t>
            </w:r>
          </w:p>
        </w:tc>
        <w:tc>
          <w:tcPr>
            <w:tcW w:w="1900" w:type="dxa"/>
          </w:tcPr>
          <w:p w14:paraId="50E27D03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10</w:t>
            </w:r>
          </w:p>
        </w:tc>
        <w:tc>
          <w:tcPr>
            <w:tcW w:w="1550" w:type="dxa"/>
          </w:tcPr>
          <w:p w14:paraId="007BA904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ms</w:t>
            </w:r>
          </w:p>
        </w:tc>
        <w:tc>
          <w:tcPr>
            <w:tcW w:w="2807" w:type="dxa"/>
          </w:tcPr>
          <w:p w14:paraId="01D510DE">
            <w:pPr>
              <w:keepNext/>
              <w:spacing w:after="0"/>
              <w:ind w:firstLine="0"/>
              <w:jc w:val="center"/>
              <w:rPr>
                <w:sz w:val="18"/>
                <w:szCs w:val="2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主循环及循迹PID更新频率100 Hz</w:t>
            </w:r>
          </w:p>
        </w:tc>
      </w:tr>
      <w:tr w14:paraId="426F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204CA30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直线基础速度</w:t>
            </w:r>
          </w:p>
        </w:tc>
        <w:tc>
          <w:tcPr>
            <w:tcW w:w="1900" w:type="dxa"/>
          </w:tcPr>
          <w:p w14:paraId="134FA79E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21</w:t>
            </w:r>
          </w:p>
        </w:tc>
        <w:tc>
          <w:tcPr>
            <w:tcW w:w="1550" w:type="dxa"/>
          </w:tcPr>
          <w:p w14:paraId="586FF785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%或脉冲/周期</w:t>
            </w:r>
          </w:p>
        </w:tc>
        <w:tc>
          <w:tcPr>
            <w:tcW w:w="2807" w:type="dxa"/>
          </w:tcPr>
          <w:p w14:paraId="289EE18F">
            <w:pPr>
              <w:keepNext/>
              <w:spacing w:after="0"/>
              <w:ind w:firstLine="0"/>
              <w:jc w:val="center"/>
              <w:rPr>
                <w:sz w:val="18"/>
                <w:szCs w:val="2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基础值30×KEY3速度比例70%；启动时1.5 s渐增</w:t>
            </w:r>
          </w:p>
        </w:tc>
      </w:tr>
      <w:tr w14:paraId="5D618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4D4038E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弧线基础速度</w:t>
            </w:r>
          </w:p>
        </w:tc>
        <w:tc>
          <w:tcPr>
            <w:tcW w:w="1900" w:type="dxa"/>
          </w:tcPr>
          <w:p w14:paraId="6525E5DF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19</w:t>
            </w:r>
          </w:p>
        </w:tc>
        <w:tc>
          <w:tcPr>
            <w:tcW w:w="1550" w:type="dxa"/>
          </w:tcPr>
          <w:p w14:paraId="78E3AF60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%或脉冲/周期</w:t>
            </w:r>
          </w:p>
        </w:tc>
        <w:tc>
          <w:tcPr>
            <w:tcW w:w="2807" w:type="dxa"/>
          </w:tcPr>
          <w:p w14:paraId="78822F7B">
            <w:pPr>
              <w:keepNext/>
              <w:spacing w:after="0"/>
              <w:ind w:firstLine="0"/>
              <w:jc w:val="center"/>
              <w:rPr>
                <w:sz w:val="18"/>
                <w:szCs w:val="2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基础值28×70%=19.6，整数运算后约19</w:t>
            </w:r>
          </w:p>
        </w:tc>
      </w:tr>
      <w:tr w14:paraId="6C39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55755B09">
            <w:pPr>
              <w:keepNext/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直线</w:t>
            </w:r>
            <w:r>
              <w:rPr>
                <w:rFonts w:hint="eastAsia"/>
                <w:b w:val="0"/>
                <w:i w:val="0"/>
                <w:color w:val="000000"/>
                <w:sz w:val="16"/>
                <w:lang w:val="en-US" w:eastAsia="zh-CN"/>
              </w:rPr>
              <w:t>KP,KD</w:t>
            </w:r>
          </w:p>
        </w:tc>
        <w:tc>
          <w:tcPr>
            <w:tcW w:w="1900" w:type="dxa"/>
          </w:tcPr>
          <w:p w14:paraId="603CEAFB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4.5/0.02</w:t>
            </w:r>
          </w:p>
        </w:tc>
        <w:tc>
          <w:tcPr>
            <w:tcW w:w="1550" w:type="dxa"/>
          </w:tcPr>
          <w:p w14:paraId="1A98BC48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—</w:t>
            </w:r>
          </w:p>
        </w:tc>
        <w:tc>
          <w:tcPr>
            <w:tcW w:w="2807" w:type="dxa"/>
          </w:tcPr>
          <w:p w14:paraId="52A6B9D5">
            <w:pPr>
              <w:keepNext/>
              <w:spacing w:after="0"/>
              <w:ind w:firstLine="0"/>
              <w:jc w:val="center"/>
              <w:rPr>
                <w:sz w:val="18"/>
                <w:szCs w:val="2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KEY3直线红外循迹外环，实际为PD</w:t>
            </w:r>
          </w:p>
        </w:tc>
      </w:tr>
      <w:tr w14:paraId="4DB1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51BEA43F">
            <w:pPr>
              <w:keepNext/>
              <w:spacing w:after="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弧线</w:t>
            </w:r>
            <w:r>
              <w:rPr>
                <w:rFonts w:hint="eastAsia"/>
                <w:b w:val="0"/>
                <w:i w:val="0"/>
                <w:color w:val="000000"/>
                <w:sz w:val="16"/>
                <w:lang w:val="en-US" w:eastAsia="zh-CN"/>
              </w:rPr>
              <w:t>KP,KD</w:t>
            </w:r>
          </w:p>
        </w:tc>
        <w:tc>
          <w:tcPr>
            <w:tcW w:w="1900" w:type="dxa"/>
          </w:tcPr>
          <w:p w14:paraId="237A5634">
            <w:pPr>
              <w:keepNext/>
              <w:spacing w:after="0"/>
              <w:ind w:firstLine="0"/>
              <w:jc w:val="center"/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BC:9.0,0.005</w:t>
            </w:r>
          </w:p>
          <w:p w14:paraId="7018302B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DA:9.5,0.005</w:t>
            </w:r>
          </w:p>
        </w:tc>
        <w:tc>
          <w:tcPr>
            <w:tcW w:w="1550" w:type="dxa"/>
          </w:tcPr>
          <w:p w14:paraId="3730699D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—</w:t>
            </w:r>
          </w:p>
        </w:tc>
        <w:tc>
          <w:tcPr>
            <w:tcW w:w="2807" w:type="dxa"/>
          </w:tcPr>
          <w:p w14:paraId="25FB4725">
            <w:pPr>
              <w:keepNext/>
              <w:spacing w:after="0"/>
              <w:ind w:firstLine="0"/>
              <w:jc w:val="center"/>
              <w:rPr>
                <w:sz w:val="18"/>
                <w:szCs w:val="2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BC、DA仅Kp不同</w:t>
            </w:r>
          </w:p>
        </w:tc>
      </w:tr>
      <w:tr w14:paraId="61F3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17DB087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AB/CD距离解锁</w:t>
            </w:r>
          </w:p>
        </w:tc>
        <w:tc>
          <w:tcPr>
            <w:tcW w:w="1900" w:type="dxa"/>
          </w:tcPr>
          <w:p w14:paraId="0223117C">
            <w:pPr>
              <w:keepNext/>
              <w:spacing w:after="0"/>
              <w:ind w:firstLine="0"/>
              <w:jc w:val="center"/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AB:90</w:t>
            </w:r>
          </w:p>
          <w:p w14:paraId="478BDDAB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CD:110</w:t>
            </w:r>
          </w:p>
        </w:tc>
        <w:tc>
          <w:tcPr>
            <w:tcW w:w="1550" w:type="dxa"/>
          </w:tcPr>
          <w:p w14:paraId="35F11F6F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cm</w:t>
            </w:r>
          </w:p>
        </w:tc>
        <w:tc>
          <w:tcPr>
            <w:tcW w:w="2807" w:type="dxa"/>
          </w:tcPr>
          <w:p w14:paraId="0A0DC50E">
            <w:pPr>
              <w:keepNext/>
              <w:spacing w:after="0"/>
              <w:ind w:firstLine="0"/>
              <w:jc w:val="center"/>
              <w:rPr>
                <w:sz w:val="18"/>
                <w:szCs w:val="2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90/110 cm前不累计转弯红外特征</w:t>
            </w:r>
          </w:p>
        </w:tc>
      </w:tr>
      <w:tr w14:paraId="5D91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4661A62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整圈角度阈值</w:t>
            </w:r>
          </w:p>
        </w:tc>
        <w:tc>
          <w:tcPr>
            <w:tcW w:w="1900" w:type="dxa"/>
          </w:tcPr>
          <w:p w14:paraId="5BA9B0DF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iCs/>
                <w:color w:val="auto"/>
                <w:lang w:val="en-US" w:eastAsia="zh-CN"/>
              </w:rPr>
              <w:t>350</w:t>
            </w:r>
          </w:p>
        </w:tc>
        <w:tc>
          <w:tcPr>
            <w:tcW w:w="1550" w:type="dxa"/>
          </w:tcPr>
          <w:p w14:paraId="477167ED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°</w:t>
            </w:r>
          </w:p>
        </w:tc>
        <w:tc>
          <w:tcPr>
            <w:tcW w:w="2807" w:type="dxa"/>
          </w:tcPr>
          <w:p w14:paraId="6DF09699">
            <w:pPr>
              <w:keepNext/>
              <w:spacing w:after="0"/>
              <w:ind w:firstLine="0"/>
              <w:jc w:val="center"/>
              <w:rPr>
                <w:sz w:val="18"/>
                <w:szCs w:val="20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达到后左侧轮保持当前速度运行200 ms再停车</w:t>
            </w:r>
          </w:p>
        </w:tc>
      </w:tr>
      <w:tr w14:paraId="7FDF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02F1BFE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滚球控制周期</w:t>
            </w:r>
          </w:p>
        </w:tc>
        <w:tc>
          <w:tcPr>
            <w:tcW w:w="1900" w:type="dxa"/>
          </w:tcPr>
          <w:p w14:paraId="43C123CB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  <w:t>［填写］</w:t>
            </w:r>
          </w:p>
        </w:tc>
        <w:tc>
          <w:tcPr>
            <w:tcW w:w="1550" w:type="dxa"/>
          </w:tcPr>
          <w:p w14:paraId="065B5BE8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ms</w:t>
            </w:r>
          </w:p>
        </w:tc>
        <w:tc>
          <w:tcPr>
            <w:tcW w:w="2807" w:type="dxa"/>
          </w:tcPr>
          <w:p w14:paraId="00EA3729">
            <w:pPr>
              <w:keepNext/>
              <w:spacing w:after="0"/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szCs w:val="21"/>
              </w:rPr>
              <w:t>视觉帧率需同时给出</w:t>
            </w:r>
          </w:p>
        </w:tc>
      </w:tr>
      <w:tr w14:paraId="7637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37218BA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滚球Kₚ、Kᵢ、K𝒹</w:t>
            </w:r>
          </w:p>
        </w:tc>
        <w:tc>
          <w:tcPr>
            <w:tcW w:w="1900" w:type="dxa"/>
          </w:tcPr>
          <w:p w14:paraId="469F063E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  <w:t>［填写］</w:t>
            </w:r>
          </w:p>
        </w:tc>
        <w:tc>
          <w:tcPr>
            <w:tcW w:w="1550" w:type="dxa"/>
          </w:tcPr>
          <w:p w14:paraId="74BB931D">
            <w:pPr>
              <w:keepNext/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—</w:t>
            </w:r>
          </w:p>
        </w:tc>
        <w:tc>
          <w:tcPr>
            <w:tcW w:w="2807" w:type="dxa"/>
          </w:tcPr>
          <w:p w14:paraId="5A2F9ADE">
            <w:pPr>
              <w:keepNext/>
              <w:spacing w:after="0"/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szCs w:val="21"/>
              </w:rPr>
              <w:t>位置外环</w:t>
            </w:r>
          </w:p>
        </w:tc>
      </w:tr>
      <w:tr w14:paraId="4238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</w:tcPr>
          <w:p w14:paraId="7A351E20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最大摆杆角度</w:t>
            </w:r>
          </w:p>
        </w:tc>
        <w:tc>
          <w:tcPr>
            <w:tcW w:w="1900" w:type="dxa"/>
          </w:tcPr>
          <w:p w14:paraId="77491B03">
            <w:pPr>
              <w:keepNext/>
              <w:spacing w:after="0"/>
              <w:ind w:firstLine="0"/>
              <w:jc w:val="center"/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</w:pPr>
            <w:r>
              <w:rPr>
                <w:rFonts w:hint="default" w:eastAsia="宋体"/>
                <w:b w:val="0"/>
                <w:i w:val="0"/>
                <w:iCs/>
                <w:color w:val="auto"/>
                <w:lang w:val="en-US" w:eastAsia="zh-CN"/>
              </w:rPr>
              <w:t>［填写］</w:t>
            </w:r>
          </w:p>
        </w:tc>
        <w:tc>
          <w:tcPr>
            <w:tcW w:w="1550" w:type="dxa"/>
          </w:tcPr>
          <w:p w14:paraId="3249F126">
            <w:pPr>
              <w:spacing w:after="0"/>
              <w:ind w:firstLine="0"/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  <w:szCs w:val="24"/>
              </w:rPr>
              <w:t>°</w:t>
            </w:r>
          </w:p>
        </w:tc>
        <w:tc>
          <w:tcPr>
            <w:tcW w:w="2807" w:type="dxa"/>
          </w:tcPr>
          <w:p w14:paraId="59FDAC4F">
            <w:pPr>
              <w:spacing w:after="0"/>
              <w:ind w:firstLine="0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szCs w:val="21"/>
              </w:rPr>
              <w:t>输出限幅</w:t>
            </w:r>
          </w:p>
        </w:tc>
      </w:tr>
    </w:tbl>
    <w:p w14:paraId="35FF5BD9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 测试方案与结果分析</w:t>
      </w:r>
    </w:p>
    <w:p w14:paraId="1AA92E8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5.1 测试条件与方法</w:t>
      </w:r>
    </w:p>
    <w:p w14:paraId="7406476E">
      <w:r>
        <w:rPr>
          <w:rFonts w:ascii="Times New Roman" w:hAnsi="Times New Roman" w:eastAsia="宋体"/>
          <w:b w:val="0"/>
          <w:i w:val="0"/>
          <w:color w:val="000000"/>
          <w:sz w:val="21"/>
        </w:rPr>
        <w:t>测试场地按题目尺寸制作：黑线宽1.8±0.2 cm，AB、CD各1.5 m，BC、DA为半径0.5 m的半圆。车辆每次从A点相同基准位置出发，电池电压保持在［填写］V。使用［秒表/系统计时］记录时间，直尺测量停车偏差；钢球位置由摄像头标定坐标逐帧记录，并由录像复核。每项至少测试3次，推荐5次。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450"/>
        <w:gridCol w:w="1900"/>
        <w:gridCol w:w="2807"/>
      </w:tblGrid>
      <w:tr w14:paraId="5240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74E62F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测试项目</w:t>
            </w:r>
          </w:p>
        </w:tc>
        <w:tc>
          <w:tcPr>
            <w:tcW w:w="24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03E2C2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设备/工具</w:t>
            </w:r>
          </w:p>
        </w:tc>
        <w:tc>
          <w:tcPr>
            <w:tcW w:w="19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06C199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采样或精度</w:t>
            </w:r>
          </w:p>
        </w:tc>
        <w:tc>
          <w:tcPr>
            <w:tcW w:w="28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E7855C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说明</w:t>
            </w:r>
          </w:p>
        </w:tc>
      </w:tr>
      <w:tr w14:paraId="5A8AC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66F9F41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路线尺寸</w:t>
            </w:r>
          </w:p>
        </w:tc>
        <w:tc>
          <w:tcPr>
            <w:tcW w:w="2450" w:type="dxa"/>
          </w:tcPr>
          <w:p w14:paraId="600FEA1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卷尺/直尺</w:t>
            </w:r>
          </w:p>
        </w:tc>
        <w:tc>
          <w:tcPr>
            <w:tcW w:w="1900" w:type="dxa"/>
          </w:tcPr>
          <w:p w14:paraId="2CADCF8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2807" w:type="dxa"/>
          </w:tcPr>
          <w:p w14:paraId="1B4B85C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测试前复核</w:t>
            </w:r>
          </w:p>
        </w:tc>
      </w:tr>
      <w:tr w14:paraId="6E49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14BF7D9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时间</w:t>
            </w:r>
          </w:p>
        </w:tc>
        <w:tc>
          <w:tcPr>
            <w:tcW w:w="2450" w:type="dxa"/>
          </w:tcPr>
          <w:p w14:paraId="4317CCC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车载数码管+录像</w:t>
            </w:r>
          </w:p>
        </w:tc>
        <w:tc>
          <w:tcPr>
            <w:tcW w:w="1900" w:type="dxa"/>
          </w:tcPr>
          <w:p w14:paraId="45D9C19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0.1 s或更高</w:t>
            </w:r>
          </w:p>
        </w:tc>
        <w:tc>
          <w:tcPr>
            <w:tcW w:w="2807" w:type="dxa"/>
          </w:tcPr>
          <w:p w14:paraId="1FC426D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按键启动至任务结束</w:t>
            </w:r>
          </w:p>
        </w:tc>
      </w:tr>
      <w:tr w14:paraId="2F2F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5C22725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停车偏差</w:t>
            </w:r>
          </w:p>
        </w:tc>
        <w:tc>
          <w:tcPr>
            <w:tcW w:w="2450" w:type="dxa"/>
          </w:tcPr>
          <w:p w14:paraId="58333AE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停车基准虚线+直尺</w:t>
            </w:r>
          </w:p>
        </w:tc>
        <w:tc>
          <w:tcPr>
            <w:tcW w:w="1900" w:type="dxa"/>
          </w:tcPr>
          <w:p w14:paraId="0E99508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 mm</w:t>
            </w:r>
          </w:p>
        </w:tc>
        <w:tc>
          <w:tcPr>
            <w:tcW w:w="2807" w:type="dxa"/>
          </w:tcPr>
          <w:p w14:paraId="5D14780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测车辆唯一基准点</w:t>
            </w:r>
          </w:p>
        </w:tc>
      </w:tr>
      <w:tr w14:paraId="7532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2DCE8C6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钢球位置</w:t>
            </w:r>
          </w:p>
        </w:tc>
        <w:tc>
          <w:tcPr>
            <w:tcW w:w="2450" w:type="dxa"/>
          </w:tcPr>
          <w:p w14:paraId="43EF101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摄像头+标定程序</w:t>
            </w:r>
          </w:p>
        </w:tc>
        <w:tc>
          <w:tcPr>
            <w:tcW w:w="1900" w:type="dxa"/>
          </w:tcPr>
          <w:p w14:paraId="060539C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［填写］cm/像素</w:t>
            </w:r>
          </w:p>
        </w:tc>
        <w:tc>
          <w:tcPr>
            <w:tcW w:w="2807" w:type="dxa"/>
          </w:tcPr>
          <w:p w14:paraId="12F5943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计算最大绝对误差</w:t>
            </w:r>
          </w:p>
        </w:tc>
      </w:tr>
      <w:tr w14:paraId="71F0D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73253875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电源</w:t>
            </w:r>
          </w:p>
        </w:tc>
        <w:tc>
          <w:tcPr>
            <w:tcW w:w="2450" w:type="dxa"/>
          </w:tcPr>
          <w:p w14:paraId="1F85D24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万用表</w:t>
            </w:r>
          </w:p>
        </w:tc>
        <w:tc>
          <w:tcPr>
            <w:tcW w:w="1900" w:type="dxa"/>
          </w:tcPr>
          <w:p w14:paraId="7F2F3010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2807" w:type="dxa"/>
          </w:tcPr>
          <w:p w14:paraId="571BE6B6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记录测试前后电压</w:t>
            </w:r>
          </w:p>
        </w:tc>
      </w:tr>
    </w:tbl>
    <w:p w14:paraId="50E9ABBB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5.2 图传显示与录像测试</w:t>
      </w:r>
    </w:p>
    <w:p w14:paraId="4BC315F4">
      <w:r>
        <w:rPr>
          <w:rFonts w:ascii="Times New Roman" w:hAnsi="Times New Roman" w:eastAsia="宋体"/>
          <w:b w:val="0"/>
          <w:i w:val="0"/>
          <w:color w:val="000000"/>
          <w:sz w:val="21"/>
        </w:rPr>
        <w:t>将接收端置于环形线路外，连续运行各任务，检查画面是否覆盖整根摆杆、有无明显卡顿，并保存录像后随机回放。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550"/>
        <w:gridCol w:w="1550"/>
        <w:gridCol w:w="1750"/>
        <w:gridCol w:w="1507"/>
      </w:tblGrid>
      <w:tr w14:paraId="506D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FD7E17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测试序号</w:t>
            </w:r>
          </w:p>
        </w:tc>
        <w:tc>
          <w:tcPr>
            <w:tcW w:w="15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82F654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分辨率/帧率</w:t>
            </w:r>
          </w:p>
        </w:tc>
        <w:tc>
          <w:tcPr>
            <w:tcW w:w="15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287B3C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是否实时稳定</w:t>
            </w:r>
          </w:p>
        </w:tc>
        <w:tc>
          <w:tcPr>
            <w:tcW w:w="15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00ABC6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是否完整录像</w:t>
            </w:r>
          </w:p>
        </w:tc>
        <w:tc>
          <w:tcPr>
            <w:tcW w:w="17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3BD0A4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能否清晰判位</w:t>
            </w:r>
          </w:p>
        </w:tc>
        <w:tc>
          <w:tcPr>
            <w:tcW w:w="15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2BFEAA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结论</w:t>
            </w:r>
          </w:p>
        </w:tc>
      </w:tr>
      <w:tr w14:paraId="70D8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</w:tcPr>
          <w:p w14:paraId="7FCF0D8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w="1550" w:type="dxa"/>
          </w:tcPr>
          <w:p w14:paraId="1755819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550" w:type="dxa"/>
          </w:tcPr>
          <w:p w14:paraId="59B62E9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550" w:type="dxa"/>
          </w:tcPr>
          <w:p w14:paraId="5502831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750" w:type="dxa"/>
          </w:tcPr>
          <w:p w14:paraId="2A0C896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507" w:type="dxa"/>
          </w:tcPr>
          <w:p w14:paraId="26A785C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  <w:tr w14:paraId="3F90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</w:tcPr>
          <w:p w14:paraId="17FF90E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w="1550" w:type="dxa"/>
          </w:tcPr>
          <w:p w14:paraId="6F91332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550" w:type="dxa"/>
          </w:tcPr>
          <w:p w14:paraId="311CEDA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550" w:type="dxa"/>
          </w:tcPr>
          <w:p w14:paraId="30E0689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750" w:type="dxa"/>
          </w:tcPr>
          <w:p w14:paraId="3C2B414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507" w:type="dxa"/>
          </w:tcPr>
          <w:p w14:paraId="6AFFB59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  <w:tr w14:paraId="11D6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</w:tcPr>
          <w:p w14:paraId="7C91557C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w="1550" w:type="dxa"/>
          </w:tcPr>
          <w:p w14:paraId="1A481ABE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550" w:type="dxa"/>
          </w:tcPr>
          <w:p w14:paraId="33B326A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550" w:type="dxa"/>
          </w:tcPr>
          <w:p w14:paraId="278F7FF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750" w:type="dxa"/>
          </w:tcPr>
          <w:p w14:paraId="729746FC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1507" w:type="dxa"/>
          </w:tcPr>
          <w:p w14:paraId="32446A70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</w:tbl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052A0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2DB32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6C77C23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06223AD4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［插入图11 图传实时画面与录像回放截图］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截图应能看到整根摆杆、钢球、刻度和录像时间轴。</w:t>
                  </w:r>
                  <w:r>
                    <w:br w:type="textWrapping"/>
                  </w:r>
                </w:p>
              </w:tc>
            </w:tr>
          </w:tbl>
          <w:p w14:paraId="2A599F6F"/>
          <w:p w14:paraId="04774493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图11 图传实时画面与录像回放截图</w:t>
            </w:r>
          </w:p>
        </w:tc>
      </w:tr>
    </w:tbl>
    <w:p w14:paraId="036F7F1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5.3 一圈停车测试（任务2）</w:t>
      </w:r>
    </w:p>
    <w:p w14:paraId="28B58C6B">
      <w:r>
        <w:rPr>
          <w:rFonts w:ascii="Times New Roman" w:hAnsi="Times New Roman" w:eastAsia="宋体"/>
          <w:b w:val="0"/>
          <w:i w:val="0"/>
          <w:color w:val="000000"/>
          <w:sz w:val="21"/>
        </w:rPr>
        <w:t>钢球位置不作要求。小车从A点按键启动，顺时针运行一圈并停止，记录总时间和车体唯一基准点相对A基准线的偏差。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350"/>
        <w:gridCol w:w="1500"/>
        <w:gridCol w:w="1250"/>
        <w:gridCol w:w="2200"/>
        <w:gridCol w:w="1907"/>
      </w:tblGrid>
      <w:tr w14:paraId="0681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2A986F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次数</w:t>
            </w:r>
          </w:p>
        </w:tc>
        <w:tc>
          <w:tcPr>
            <w:tcW w:w="13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936869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总时间/s</w:t>
            </w:r>
          </w:p>
        </w:tc>
        <w:tc>
          <w:tcPr>
            <w:tcW w:w="15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331148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停车偏差/cm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C0746F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是否脱线</w:t>
            </w:r>
          </w:p>
        </w:tc>
        <w:tc>
          <w:tcPr>
            <w:tcW w:w="22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5002CA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计时显示是否保持</w:t>
            </w:r>
          </w:p>
        </w:tc>
        <w:tc>
          <w:tcPr>
            <w:tcW w:w="19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FA53A5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要求</w:t>
            </w:r>
          </w:p>
        </w:tc>
      </w:tr>
      <w:tr w14:paraId="3B22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12096F1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350" w:type="dxa"/>
          </w:tcPr>
          <w:p w14:paraId="70AF7A4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00" w:type="dxa"/>
          </w:tcPr>
          <w:p w14:paraId="584956E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172AA80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200" w:type="dxa"/>
          </w:tcPr>
          <w:p w14:paraId="0722FE4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7" w:type="dxa"/>
          </w:tcPr>
          <w:p w14:paraId="6F7D8D8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≤20 s；≤2 cm</w:t>
            </w:r>
          </w:p>
        </w:tc>
      </w:tr>
      <w:tr w14:paraId="3227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4A258B8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350" w:type="dxa"/>
          </w:tcPr>
          <w:p w14:paraId="7E40170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00" w:type="dxa"/>
          </w:tcPr>
          <w:p w14:paraId="607565A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7905467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200" w:type="dxa"/>
          </w:tcPr>
          <w:p w14:paraId="628B48E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7" w:type="dxa"/>
          </w:tcPr>
          <w:p w14:paraId="226E133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≤20 s；≤2 cm</w:t>
            </w:r>
          </w:p>
        </w:tc>
      </w:tr>
      <w:tr w14:paraId="1007A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50CCD81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350" w:type="dxa"/>
          </w:tcPr>
          <w:p w14:paraId="23CFAE5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00" w:type="dxa"/>
          </w:tcPr>
          <w:p w14:paraId="190831F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09CF26F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200" w:type="dxa"/>
          </w:tcPr>
          <w:p w14:paraId="7FA633A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7" w:type="dxa"/>
          </w:tcPr>
          <w:p w14:paraId="4EA7090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≤20 s；≤2 cm</w:t>
            </w:r>
          </w:p>
        </w:tc>
      </w:tr>
      <w:tr w14:paraId="6CE1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5C1D82D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w="1350" w:type="dxa"/>
          </w:tcPr>
          <w:p w14:paraId="17575B0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00" w:type="dxa"/>
          </w:tcPr>
          <w:p w14:paraId="3A2E38C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38C0D7F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200" w:type="dxa"/>
          </w:tcPr>
          <w:p w14:paraId="1EA1C26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7" w:type="dxa"/>
          </w:tcPr>
          <w:p w14:paraId="59E78FE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≤20 s；≤2 cm</w:t>
            </w:r>
          </w:p>
        </w:tc>
      </w:tr>
      <w:tr w14:paraId="3D33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618FDF82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w="1350" w:type="dxa"/>
          </w:tcPr>
          <w:p w14:paraId="0A9D0281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00" w:type="dxa"/>
          </w:tcPr>
          <w:p w14:paraId="3DF5FC41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40C35B78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200" w:type="dxa"/>
          </w:tcPr>
          <w:p w14:paraId="6A8350AE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7" w:type="dxa"/>
          </w:tcPr>
          <w:p w14:paraId="6A9414F2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≤20 s；≤2 cm</w:t>
            </w:r>
          </w:p>
        </w:tc>
      </w:tr>
    </w:tbl>
    <w:p w14:paraId="563D46DA">
      <w:pPr>
        <w:pStyle w:val="164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【填写提示】给出平均时间、最大停车偏差，并分析重复性；若只做3次，可删除多余行。</w:t>
      </w:r>
    </w:p>
    <w:p w14:paraId="10A4DF10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5.4 静止滚球往返测试（任务3）</w:t>
      </w:r>
    </w:p>
    <w:p w14:paraId="7C8DB46E">
      <w:r>
        <w:rPr>
          <w:rFonts w:ascii="Times New Roman" w:hAnsi="Times New Roman" w:eastAsia="宋体"/>
          <w:b w:val="0"/>
          <w:i w:val="0"/>
          <w:color w:val="000000"/>
          <w:sz w:val="21"/>
        </w:rPr>
        <w:t>小车静止，钢球从O点开始。控制器先令钢球到+5 cm，检测到达后折返到−5 cm并稳定。记录全过程位置曲线。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200"/>
        <w:gridCol w:w="1950"/>
        <w:gridCol w:w="1950"/>
        <w:gridCol w:w="1550"/>
        <w:gridCol w:w="1607"/>
      </w:tblGrid>
      <w:tr w14:paraId="5B2BE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320B8E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次数</w:t>
            </w:r>
          </w:p>
        </w:tc>
        <w:tc>
          <w:tcPr>
            <w:tcW w:w="12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0B2150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总时间/s</w:t>
            </w:r>
          </w:p>
        </w:tc>
        <w:tc>
          <w:tcPr>
            <w:tcW w:w="19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947394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+5 cm最大误差/cm</w:t>
            </w:r>
          </w:p>
        </w:tc>
        <w:tc>
          <w:tcPr>
            <w:tcW w:w="19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D13C1C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−5 cm最大误差/cm</w:t>
            </w:r>
          </w:p>
        </w:tc>
        <w:tc>
          <w:tcPr>
            <w:tcW w:w="15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155590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最终稳定值/cm</w:t>
            </w:r>
          </w:p>
        </w:tc>
        <w:tc>
          <w:tcPr>
            <w:tcW w:w="16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7BE7DC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要求</w:t>
            </w:r>
          </w:p>
        </w:tc>
      </w:tr>
      <w:tr w14:paraId="778B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</w:tcPr>
          <w:p w14:paraId="051E97E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200" w:type="dxa"/>
          </w:tcPr>
          <w:p w14:paraId="37B3CEB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4CF58CF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2BEEAD5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50" w:type="dxa"/>
          </w:tcPr>
          <w:p w14:paraId="26750F8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607" w:type="dxa"/>
          </w:tcPr>
          <w:p w14:paraId="5F1CF80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≤5 s；误差≤1 cm</w:t>
            </w:r>
          </w:p>
        </w:tc>
      </w:tr>
      <w:tr w14:paraId="597B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</w:tcPr>
          <w:p w14:paraId="784247F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200" w:type="dxa"/>
          </w:tcPr>
          <w:p w14:paraId="5D5004B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3485468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5BC7711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50" w:type="dxa"/>
          </w:tcPr>
          <w:p w14:paraId="662FFE2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607" w:type="dxa"/>
          </w:tcPr>
          <w:p w14:paraId="78A80D2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≤5 s；误差≤1 cm</w:t>
            </w:r>
          </w:p>
        </w:tc>
      </w:tr>
      <w:tr w14:paraId="32A44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</w:tcPr>
          <w:p w14:paraId="4185086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200" w:type="dxa"/>
          </w:tcPr>
          <w:p w14:paraId="6DDC816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2C03BA6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76ED0E3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50" w:type="dxa"/>
          </w:tcPr>
          <w:p w14:paraId="2A3551A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607" w:type="dxa"/>
          </w:tcPr>
          <w:p w14:paraId="7F4F2C5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≤5 s；误差≤1 cm</w:t>
            </w:r>
          </w:p>
        </w:tc>
      </w:tr>
      <w:tr w14:paraId="523D4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</w:tcPr>
          <w:p w14:paraId="1099461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w="1200" w:type="dxa"/>
          </w:tcPr>
          <w:p w14:paraId="09BD1C1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090C188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4F00099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50" w:type="dxa"/>
          </w:tcPr>
          <w:p w14:paraId="47FF260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607" w:type="dxa"/>
          </w:tcPr>
          <w:p w14:paraId="10BB0B8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≤5 s；误差≤1 cm</w:t>
            </w:r>
          </w:p>
        </w:tc>
      </w:tr>
      <w:tr w14:paraId="6BD7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</w:tcPr>
          <w:p w14:paraId="13480CE5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w="1200" w:type="dxa"/>
          </w:tcPr>
          <w:p w14:paraId="7AB6D0ED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2AF6461E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50" w:type="dxa"/>
          </w:tcPr>
          <w:p w14:paraId="507F1989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550" w:type="dxa"/>
          </w:tcPr>
          <w:p w14:paraId="43C0DAE9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607" w:type="dxa"/>
          </w:tcPr>
          <w:p w14:paraId="12FB5EEA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≤5 s；误差≤1 cm</w:t>
            </w:r>
          </w:p>
        </w:tc>
      </w:tr>
    </w:tbl>
    <w:p w14:paraId="30D5ACB2">
      <w:pPr>
        <w:pStyle w:val="164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【填写提示】“运行时间”起止点需统一定义；最大误差从到达指定点后的评价窗口计算时，应说明窗口长度。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05E9C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14C6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6904E2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0CE59761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［插入图12 静止往返位置响应曲线］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横轴时间，纵轴钢球位置；同时画设定值与实测值，并标出±1 cm误差带。</w:t>
                  </w:r>
                  <w:r>
                    <w:br w:type="textWrapping"/>
                  </w:r>
                </w:p>
              </w:tc>
            </w:tr>
          </w:tbl>
          <w:p w14:paraId="2305F054"/>
          <w:p w14:paraId="76649624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图12 静止往返位置响应曲线</w:t>
            </w:r>
          </w:p>
        </w:tc>
      </w:tr>
    </w:tbl>
    <w:p w14:paraId="598F541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5.5 A至B动态稳定测试（任务4）</w:t>
      </w:r>
    </w:p>
    <w:p w14:paraId="571AB8FC">
      <w:r>
        <w:rPr>
          <w:rFonts w:ascii="Times New Roman" w:hAnsi="Times New Roman" w:eastAsia="宋体"/>
          <w:b w:val="0"/>
          <w:i w:val="0"/>
          <w:color w:val="000000"/>
          <w:sz w:val="21"/>
        </w:rPr>
        <w:t>钢球初始置于O点。小车从A点按键启动并通过B点，记录AB时间以及全过程钢球相对O点的最大绝对误差。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300"/>
        <w:gridCol w:w="1900"/>
        <w:gridCol w:w="2050"/>
        <w:gridCol w:w="1200"/>
        <w:gridCol w:w="1757"/>
      </w:tblGrid>
      <w:tr w14:paraId="5003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68D5FB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次数</w:t>
            </w:r>
          </w:p>
        </w:tc>
        <w:tc>
          <w:tcPr>
            <w:tcW w:w="13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A2CC9C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AB时间/s</w:t>
            </w:r>
          </w:p>
        </w:tc>
        <w:tc>
          <w:tcPr>
            <w:tcW w:w="19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B76F7E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钢球最大误差/cm</w:t>
            </w:r>
          </w:p>
        </w:tc>
        <w:tc>
          <w:tcPr>
            <w:tcW w:w="20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685956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钢球均方根误差/cm</w:t>
            </w:r>
          </w:p>
        </w:tc>
        <w:tc>
          <w:tcPr>
            <w:tcW w:w="12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F13161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是否脱线</w:t>
            </w:r>
          </w:p>
        </w:tc>
        <w:tc>
          <w:tcPr>
            <w:tcW w:w="175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A09110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要求</w:t>
            </w:r>
          </w:p>
        </w:tc>
      </w:tr>
      <w:tr w14:paraId="3874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6FF864E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300" w:type="dxa"/>
          </w:tcPr>
          <w:p w14:paraId="7CC2AD2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0" w:type="dxa"/>
          </w:tcPr>
          <w:p w14:paraId="25B0683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050" w:type="dxa"/>
          </w:tcPr>
          <w:p w14:paraId="0BB1AB9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00" w:type="dxa"/>
          </w:tcPr>
          <w:p w14:paraId="15976E6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757" w:type="dxa"/>
          </w:tcPr>
          <w:p w14:paraId="18C7D6C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≤8 s；误差≤1 cm</w:t>
            </w:r>
          </w:p>
        </w:tc>
      </w:tr>
      <w:tr w14:paraId="064F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20E6891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300" w:type="dxa"/>
          </w:tcPr>
          <w:p w14:paraId="5C40FAD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0" w:type="dxa"/>
          </w:tcPr>
          <w:p w14:paraId="074CE14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050" w:type="dxa"/>
          </w:tcPr>
          <w:p w14:paraId="3133C72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00" w:type="dxa"/>
          </w:tcPr>
          <w:p w14:paraId="11ABB62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757" w:type="dxa"/>
          </w:tcPr>
          <w:p w14:paraId="66608C2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≤8 s；误差≤1 cm</w:t>
            </w:r>
          </w:p>
        </w:tc>
      </w:tr>
      <w:tr w14:paraId="21AD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3131A4B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300" w:type="dxa"/>
          </w:tcPr>
          <w:p w14:paraId="7A5296A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0" w:type="dxa"/>
          </w:tcPr>
          <w:p w14:paraId="3ED8E83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050" w:type="dxa"/>
          </w:tcPr>
          <w:p w14:paraId="4F3CA66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00" w:type="dxa"/>
          </w:tcPr>
          <w:p w14:paraId="66CC8B3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757" w:type="dxa"/>
          </w:tcPr>
          <w:p w14:paraId="575FDD0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≤8 s；误差≤1 cm</w:t>
            </w:r>
          </w:p>
        </w:tc>
      </w:tr>
      <w:tr w14:paraId="7366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72DBE8C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w="1300" w:type="dxa"/>
          </w:tcPr>
          <w:p w14:paraId="4C1CAE4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0" w:type="dxa"/>
          </w:tcPr>
          <w:p w14:paraId="0D043F8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050" w:type="dxa"/>
          </w:tcPr>
          <w:p w14:paraId="3483386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00" w:type="dxa"/>
          </w:tcPr>
          <w:p w14:paraId="55DB58D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757" w:type="dxa"/>
          </w:tcPr>
          <w:p w14:paraId="0107DF0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≤8 s；误差≤1 cm</w:t>
            </w:r>
          </w:p>
        </w:tc>
      </w:tr>
      <w:tr w14:paraId="3CA7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0" w:type="dxa"/>
          </w:tcPr>
          <w:p w14:paraId="0641E3F8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w="1300" w:type="dxa"/>
          </w:tcPr>
          <w:p w14:paraId="41965215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900" w:type="dxa"/>
          </w:tcPr>
          <w:p w14:paraId="6F475FE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050" w:type="dxa"/>
          </w:tcPr>
          <w:p w14:paraId="5F999F53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00" w:type="dxa"/>
          </w:tcPr>
          <w:p w14:paraId="08DA1EFB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757" w:type="dxa"/>
          </w:tcPr>
          <w:p w14:paraId="5172B9D3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≤8 s；误差≤1 cm</w:t>
            </w:r>
          </w:p>
        </w:tc>
      </w:tr>
    </w:tbl>
    <w:p w14:paraId="4B013A4F">
      <w:pPr>
        <w:pStyle w:val="164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【填写提示】报告至少给出最大绝对误差；均方根误差可作为稳定性补充指标。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C879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0670E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0875AAB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4E353829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［插入图13 A至B行驶时钢球位置误差曲线］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叠加车辆速度或路段标记，有助于说明启动加速度对钢球的影响。</w:t>
                  </w:r>
                  <w:r>
                    <w:br w:type="textWrapping"/>
                  </w:r>
                </w:p>
              </w:tc>
            </w:tr>
          </w:tbl>
          <w:p w14:paraId="16D6352F"/>
          <w:p w14:paraId="238810EB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图13 A至B行驶时钢球位置误差曲线</w:t>
            </w:r>
          </w:p>
        </w:tc>
      </w:tr>
    </w:tbl>
    <w:p w14:paraId="25BB3A4B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5.6 整圈中心点稳定测试（任务5）</w:t>
      </w:r>
    </w:p>
    <w:p w14:paraId="0980C4F9">
      <w:r>
        <w:rPr>
          <w:rFonts w:ascii="Times New Roman" w:hAnsi="Times New Roman" w:eastAsia="宋体"/>
          <w:b w:val="0"/>
          <w:i w:val="0"/>
          <w:color w:val="000000"/>
          <w:sz w:val="21"/>
        </w:rPr>
        <w:t>钢球设定位置为O点，小车顺时针运行一圈并通过A点。分别标记AB、BC、CD、DA四个路段，统计整圈最大误差。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150"/>
        <w:gridCol w:w="1250"/>
        <w:gridCol w:w="1250"/>
        <w:gridCol w:w="1250"/>
        <w:gridCol w:w="1250"/>
        <w:gridCol w:w="2157"/>
      </w:tblGrid>
      <w:tr w14:paraId="184A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2E65FF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次数</w:t>
            </w:r>
          </w:p>
        </w:tc>
        <w:tc>
          <w:tcPr>
            <w:tcW w:w="11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E92B3C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整圈时间/s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400A4E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AB最大误差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008E26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BC最大误差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AF68B8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CD最大误差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2C35EB9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DA最大误差</w:t>
            </w:r>
          </w:p>
        </w:tc>
        <w:tc>
          <w:tcPr>
            <w:tcW w:w="215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2DC578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要求</w:t>
            </w:r>
          </w:p>
        </w:tc>
      </w:tr>
      <w:tr w14:paraId="14126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2BC1AC1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w="1150" w:type="dxa"/>
          </w:tcPr>
          <w:p w14:paraId="4F9EEF5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5088582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3CBBD04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548F0FF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0CD7028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157" w:type="dxa"/>
          </w:tcPr>
          <w:p w14:paraId="2A4E1A7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≤30 s；误差≤1 cm</w:t>
            </w:r>
          </w:p>
        </w:tc>
      </w:tr>
      <w:tr w14:paraId="69DC6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5506121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w="1150" w:type="dxa"/>
          </w:tcPr>
          <w:p w14:paraId="6E2F0BD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16612DD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007B84D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2B49945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5F74CC2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157" w:type="dxa"/>
          </w:tcPr>
          <w:p w14:paraId="2137330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≤30 s；误差≤1 cm</w:t>
            </w:r>
          </w:p>
        </w:tc>
      </w:tr>
      <w:tr w14:paraId="15FAF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3F735C5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w="1150" w:type="dxa"/>
          </w:tcPr>
          <w:p w14:paraId="18BDBDF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39028FD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1909066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36BED8B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35A4A91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157" w:type="dxa"/>
          </w:tcPr>
          <w:p w14:paraId="6DEF3EC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≤30 s；误差≤1 cm</w:t>
            </w:r>
          </w:p>
        </w:tc>
      </w:tr>
      <w:tr w14:paraId="657D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679E80E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w="1150" w:type="dxa"/>
          </w:tcPr>
          <w:p w14:paraId="43467E4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34F26E9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721AE4D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1DF898D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32D3362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157" w:type="dxa"/>
          </w:tcPr>
          <w:p w14:paraId="6766EF6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≤30 s；误差≤1 cm</w:t>
            </w:r>
          </w:p>
        </w:tc>
      </w:tr>
      <w:tr w14:paraId="7BB0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7A9B6CA3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w="1150" w:type="dxa"/>
          </w:tcPr>
          <w:p w14:paraId="42F1F650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1BD7F3CE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2B2FCEFC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20DC28A2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1250" w:type="dxa"/>
          </w:tcPr>
          <w:p w14:paraId="4971D065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7"/>
              </w:rPr>
              <w:t>［填写］</w:t>
            </w:r>
          </w:p>
        </w:tc>
        <w:tc>
          <w:tcPr>
            <w:tcW w:w="2157" w:type="dxa"/>
          </w:tcPr>
          <w:p w14:paraId="03966C9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≤30 s；误差≤1 cm</w:t>
            </w:r>
          </w:p>
        </w:tc>
      </w:tr>
    </w:tbl>
    <w:p w14:paraId="4A2D41A7">
      <w:pPr>
        <w:pStyle w:val="164"/>
      </w:pPr>
      <w:r>
        <w:rPr>
          <w:rFonts w:ascii="Times New Roman" w:hAnsi="Times New Roman" w:eastAsia="宋体"/>
          <w:b w:val="0"/>
          <w:i/>
          <w:color w:val="666666"/>
          <w:sz w:val="19"/>
        </w:rPr>
        <w:t>【填写提示】误差单位为cm；若表格过宽，可保留“整圈最大误差”一列，并在曲线中区分路段。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7F9AC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5361D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73CC1B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4E5287EE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［插入图14 整圈中心点稳定位置曲线］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标注AB、BC、CD、DA区间和最大误差出现位置。</w:t>
                  </w:r>
                  <w:r>
                    <w:br w:type="textWrapping"/>
                  </w:r>
                </w:p>
              </w:tc>
            </w:tr>
          </w:tbl>
          <w:p w14:paraId="12B55DB3"/>
          <w:p w14:paraId="37D78977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图14 整圈中心点稳定位置曲线</w:t>
            </w:r>
          </w:p>
        </w:tc>
      </w:tr>
    </w:tbl>
    <w:p w14:paraId="6AC4207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5.7 任意设定位置整圈测试（任务6）</w:t>
      </w:r>
    </w:p>
    <w:p w14:paraId="7405A8B4">
      <w:r>
        <w:rPr>
          <w:rFonts w:ascii="Times New Roman" w:hAnsi="Times New Roman" w:eastAsia="宋体"/>
          <w:b w:val="0"/>
          <w:i w:val="0"/>
          <w:color w:val="000000"/>
          <w:sz w:val="21"/>
        </w:rPr>
        <w:t>选择摆杆允许范围内的若干非零设定点进行测试，例如−5 cm、+3 cm、+5 cm。小车从A点运行一圈并通过A点，记录时间和钢球相对各设定点的最大绝对误差。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250"/>
        <w:gridCol w:w="1200"/>
        <w:gridCol w:w="1250"/>
        <w:gridCol w:w="1250"/>
        <w:gridCol w:w="1050"/>
        <w:gridCol w:w="2307"/>
      </w:tblGrid>
      <w:tr w14:paraId="197C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C2118D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次数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8A39FF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设定位置/cm</w:t>
            </w:r>
          </w:p>
        </w:tc>
        <w:tc>
          <w:tcPr>
            <w:tcW w:w="120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E8B1D6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整圈时间/s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59D2483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最大误差/cm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030FBA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最终位置/cm</w:t>
            </w:r>
          </w:p>
        </w:tc>
        <w:tc>
          <w:tcPr>
            <w:tcW w:w="10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70E065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是否脱线</w:t>
            </w:r>
          </w:p>
        </w:tc>
        <w:tc>
          <w:tcPr>
            <w:tcW w:w="230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2B1B9C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要求</w:t>
            </w:r>
          </w:p>
        </w:tc>
      </w:tr>
      <w:tr w14:paraId="6152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401B113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w="1250" w:type="dxa"/>
          </w:tcPr>
          <w:p w14:paraId="247B9E7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00" w:type="dxa"/>
          </w:tcPr>
          <w:p w14:paraId="6EC0D37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22476AC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76DD846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050" w:type="dxa"/>
          </w:tcPr>
          <w:p w14:paraId="2766250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307" w:type="dxa"/>
          </w:tcPr>
          <w:p w14:paraId="18EB714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≤30 s；≤1 cm</w:t>
            </w:r>
          </w:p>
        </w:tc>
      </w:tr>
      <w:tr w14:paraId="0FCCC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76C66AED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w="1250" w:type="dxa"/>
          </w:tcPr>
          <w:p w14:paraId="47129AA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00" w:type="dxa"/>
          </w:tcPr>
          <w:p w14:paraId="7D42DFB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23DC7F8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622D3E4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050" w:type="dxa"/>
          </w:tcPr>
          <w:p w14:paraId="3CB8629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307" w:type="dxa"/>
          </w:tcPr>
          <w:p w14:paraId="7E6E6EA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≤30 s；≤1 cm</w:t>
            </w:r>
          </w:p>
        </w:tc>
      </w:tr>
      <w:tr w14:paraId="07DF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02C8AA0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w="1250" w:type="dxa"/>
          </w:tcPr>
          <w:p w14:paraId="21C69DC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00" w:type="dxa"/>
          </w:tcPr>
          <w:p w14:paraId="02DC828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2ECFB30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4B0B258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050" w:type="dxa"/>
          </w:tcPr>
          <w:p w14:paraId="06F488C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307" w:type="dxa"/>
          </w:tcPr>
          <w:p w14:paraId="65A527F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≤30 s；≤1 cm</w:t>
            </w:r>
          </w:p>
        </w:tc>
      </w:tr>
      <w:tr w14:paraId="5C06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6F0EDA1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w="1250" w:type="dxa"/>
          </w:tcPr>
          <w:p w14:paraId="2E77D49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00" w:type="dxa"/>
          </w:tcPr>
          <w:p w14:paraId="50D4685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6A0A67F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69139AF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050" w:type="dxa"/>
          </w:tcPr>
          <w:p w14:paraId="51D220E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307" w:type="dxa"/>
          </w:tcPr>
          <w:p w14:paraId="134BADD6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≤30 s；≤1 cm</w:t>
            </w:r>
          </w:p>
        </w:tc>
      </w:tr>
      <w:tr w14:paraId="29DAA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</w:tcPr>
          <w:p w14:paraId="257343A0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w="1250" w:type="dxa"/>
          </w:tcPr>
          <w:p w14:paraId="1711C20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00" w:type="dxa"/>
          </w:tcPr>
          <w:p w14:paraId="50CC7EA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6FEC340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2744C9E7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050" w:type="dxa"/>
          </w:tcPr>
          <w:p w14:paraId="76B92F3B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307" w:type="dxa"/>
          </w:tcPr>
          <w:p w14:paraId="3C682885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≤30 s；≤1 cm</w:t>
            </w:r>
          </w:p>
        </w:tc>
      </w:tr>
    </w:tbl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18035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E0CED">
            <w:pPr>
              <w:spacing w:before="0" w:after="0" w:line="20" w:lineRule="exact"/>
            </w:pPr>
          </w:p>
          <w:tbl>
            <w:tblPr>
              <w:tblStyle w:val="32"/>
              <w:tblW w:w="895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57"/>
            </w:tblGrid>
            <w:tr w14:paraId="40597C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57" w:type="dxa"/>
                  <w:tcBorders>
                    <w:top w:val="dashed" w:color="A6A6A6" w:sz="6" w:space="0"/>
                    <w:left w:val="dashed" w:color="A6A6A6" w:sz="6" w:space="0"/>
                    <w:bottom w:val="dashed" w:color="A6A6A6" w:sz="6" w:space="0"/>
                    <w:right w:val="dashed" w:color="A6A6A6" w:sz="6" w:space="0"/>
                  </w:tcBorders>
                  <w:shd w:val="clear" w:color="auto" w:fill="FAFAFA"/>
                  <w:tcMar>
                    <w:top w:w="72" w:type="dxa"/>
                    <w:left w:w="90" w:type="dxa"/>
                    <w:bottom w:w="72" w:type="dxa"/>
                    <w:right w:w="90" w:type="dxa"/>
                  </w:tcMar>
                  <w:vAlign w:val="center"/>
                </w:tcPr>
                <w:p w14:paraId="6EF2A828">
                  <w:pPr>
                    <w:spacing w:before="160" w:after="160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［插入图15 不同设定位置的整圈响应曲线］</w:t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br w:type="textWrapping"/>
                  </w:r>
                  <w:r>
                    <w:rPr>
                      <w:rFonts w:ascii="Times New Roman" w:hAnsi="Times New Roman" w:eastAsia="宋体"/>
                      <w:b w:val="0"/>
                      <w:i w:val="0"/>
                      <w:color w:val="666666"/>
                      <w:sz w:val="19"/>
                    </w:rPr>
                    <w:t>可在一张图中对比不同设定点，或只展示最具代表性的一组。</w:t>
                  </w:r>
                  <w:r>
                    <w:br w:type="textWrapping"/>
                  </w:r>
                </w:p>
              </w:tc>
            </w:tr>
          </w:tbl>
          <w:p w14:paraId="16B5F174"/>
          <w:p w14:paraId="18F1A81B">
            <w:pPr>
              <w:pStyle w:val="15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图15 不同设定位置的整圈响应曲线</w:t>
            </w:r>
          </w:p>
        </w:tc>
      </w:tr>
    </w:tbl>
    <w:p w14:paraId="119D3DC8">
      <w:r>
        <w:br w:type="page"/>
      </w:r>
    </w:p>
    <w:p w14:paraId="13DDAEA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5.8 测试结果汇总与分析</w:t>
      </w:r>
    </w:p>
    <w:tbl>
      <w:tblPr>
        <w:tblStyle w:val="33"/>
        <w:tblW w:w="8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250"/>
        <w:gridCol w:w="2050"/>
        <w:gridCol w:w="1250"/>
        <w:gridCol w:w="2057"/>
      </w:tblGrid>
      <w:tr w14:paraId="6049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1A3B2E8C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任务</w:t>
            </w:r>
          </w:p>
        </w:tc>
        <w:tc>
          <w:tcPr>
            <w:tcW w:w="2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301ADFF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指标要求</w:t>
            </w:r>
          </w:p>
        </w:tc>
        <w:tc>
          <w:tcPr>
            <w:tcW w:w="20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645723C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最差实测结果</w:t>
            </w:r>
          </w:p>
        </w:tc>
        <w:tc>
          <w:tcPr>
            <w:tcW w:w="1250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0BE3EE7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是否达标</w:t>
            </w:r>
          </w:p>
        </w:tc>
        <w:tc>
          <w:tcPr>
            <w:tcW w:w="2057" w:type="dxa"/>
            <w:shd w:val="clear" w:color="auto" w:fill="E7E6E6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41581BFA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6"/>
              </w:rPr>
              <w:t>主要限制因素</w:t>
            </w:r>
          </w:p>
        </w:tc>
      </w:tr>
      <w:tr w14:paraId="230A4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122EF56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图传</w:t>
            </w:r>
          </w:p>
        </w:tc>
        <w:tc>
          <w:tcPr>
            <w:tcW w:w="2250" w:type="dxa"/>
          </w:tcPr>
          <w:p w14:paraId="561608E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稳定显示、录像、回放</w:t>
            </w:r>
          </w:p>
        </w:tc>
        <w:tc>
          <w:tcPr>
            <w:tcW w:w="2050" w:type="dxa"/>
          </w:tcPr>
          <w:p w14:paraId="4FABD30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3BF940A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057" w:type="dxa"/>
          </w:tcPr>
          <w:p w14:paraId="148CD0B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  <w:tr w14:paraId="2684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5C6DA99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一圈停车</w:t>
            </w:r>
          </w:p>
        </w:tc>
        <w:tc>
          <w:tcPr>
            <w:tcW w:w="2250" w:type="dxa"/>
          </w:tcPr>
          <w:p w14:paraId="0A13D2D9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≤20 s；≤2 cm</w:t>
            </w:r>
          </w:p>
        </w:tc>
        <w:tc>
          <w:tcPr>
            <w:tcW w:w="2050" w:type="dxa"/>
          </w:tcPr>
          <w:p w14:paraId="4E7C094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433B22B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057" w:type="dxa"/>
          </w:tcPr>
          <w:p w14:paraId="1275D5E5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  <w:tr w14:paraId="5972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295FB9B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静止往返</w:t>
            </w:r>
          </w:p>
        </w:tc>
        <w:tc>
          <w:tcPr>
            <w:tcW w:w="2250" w:type="dxa"/>
          </w:tcPr>
          <w:p w14:paraId="31AF82E4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≤5 s；误差≤1 cm</w:t>
            </w:r>
          </w:p>
        </w:tc>
        <w:tc>
          <w:tcPr>
            <w:tcW w:w="2050" w:type="dxa"/>
          </w:tcPr>
          <w:p w14:paraId="38375D62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4DD08B71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057" w:type="dxa"/>
          </w:tcPr>
          <w:p w14:paraId="5CDCF55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  <w:tr w14:paraId="69D2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0FA65390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A至B</w:t>
            </w:r>
          </w:p>
        </w:tc>
        <w:tc>
          <w:tcPr>
            <w:tcW w:w="2250" w:type="dxa"/>
          </w:tcPr>
          <w:p w14:paraId="66EFD55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≤8 s；误差≤1 cm</w:t>
            </w:r>
          </w:p>
        </w:tc>
        <w:tc>
          <w:tcPr>
            <w:tcW w:w="2050" w:type="dxa"/>
          </w:tcPr>
          <w:p w14:paraId="2EEED633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332FD36F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057" w:type="dxa"/>
          </w:tcPr>
          <w:p w14:paraId="31CA86D8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  <w:tr w14:paraId="50E9F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2AF8B1B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整圈中心</w:t>
            </w:r>
          </w:p>
        </w:tc>
        <w:tc>
          <w:tcPr>
            <w:tcW w:w="2250" w:type="dxa"/>
          </w:tcPr>
          <w:p w14:paraId="60BA3E8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≤30 s；误差≤1 cm</w:t>
            </w:r>
          </w:p>
        </w:tc>
        <w:tc>
          <w:tcPr>
            <w:tcW w:w="2050" w:type="dxa"/>
          </w:tcPr>
          <w:p w14:paraId="56A1644B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497D7297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057" w:type="dxa"/>
          </w:tcPr>
          <w:p w14:paraId="7FDC131E">
            <w:pPr>
              <w:keepNext/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  <w:tr w14:paraId="6AC4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</w:tcPr>
          <w:p w14:paraId="37231FAA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任意位置</w:t>
            </w:r>
          </w:p>
        </w:tc>
        <w:tc>
          <w:tcPr>
            <w:tcW w:w="2250" w:type="dxa"/>
          </w:tcPr>
          <w:p w14:paraId="252E4F8A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≤30 s；误差≤1 cm</w:t>
            </w:r>
          </w:p>
        </w:tc>
        <w:tc>
          <w:tcPr>
            <w:tcW w:w="2050" w:type="dxa"/>
          </w:tcPr>
          <w:p w14:paraId="7ABB21D6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  <w:tc>
          <w:tcPr>
            <w:tcW w:w="1250" w:type="dxa"/>
          </w:tcPr>
          <w:p w14:paraId="1995F905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［是/否］</w:t>
            </w:r>
          </w:p>
        </w:tc>
        <w:tc>
          <w:tcPr>
            <w:tcW w:w="2057" w:type="dxa"/>
          </w:tcPr>
          <w:p w14:paraId="00208074"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/>
                <w:color w:val="666666"/>
                <w:sz w:val="16"/>
              </w:rPr>
              <w:t>［填写］</w:t>
            </w:r>
          </w:p>
        </w:tc>
      </w:tr>
    </w:tbl>
    <w:p w14:paraId="046BD8A1">
      <w:r>
        <w:rPr>
          <w:rFonts w:ascii="Times New Roman" w:hAnsi="Times New Roman" w:eastAsia="宋体"/>
          <w:b w:val="0"/>
          <w:i w:val="0"/>
          <w:color w:val="000000"/>
          <w:sz w:val="21"/>
        </w:rPr>
        <w:t>结果分析应解释误差出现在哪个阶段及其原因。例如：启动斜坡过陡导致钢球短时偏移，弧线段横向振动使视觉坐标波动，执行机构回差造成换向滞后，或电池电压下降使速度闭环饱和。随后说明采取的参数或结构改进，并用改进前后数据验证。</w:t>
      </w:r>
    </w:p>
    <w:p w14:paraId="168DB220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 总结</w:t>
      </w:r>
      <w:bookmarkStart w:id="0" w:name="_GoBack"/>
      <w:bookmarkEnd w:id="0"/>
    </w:p>
    <w:p w14:paraId="4D258C90">
      <w:pPr>
        <w:pStyle w:val="3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文完成了车载平衡滚球运动控制系统的方案设计、理论分析、电路与程序实现，并对题目规定的六项功能进行了测试。系统利用八路红外光电传感器采集黑线状态，将各通道信号二值化并加权求取横向偏差，采用直线、弧线分段PD控制，结合编码器距离保护和MPU6050转角积分，实现环形线路循迹与路段切换。滚球控制部分通过摄像头提取钢球圆心像素坐标，经线性标定转换为摆杆实际位置，并采用位置闭环控制舵机调节摆杆角度，实现钢球定点运动与车辆行驶过程中的动态稳定。系统循迹控制周期为10 ms，KEY3模式下直线与弧线分别采用独立控制参数，AB、CD段距离解锁阈值分别为90 cm和110 cm，整圈停车角度阈值设为350°。实测整圈行驶时间为［填写］s，A至B行驶时间为［填写］s，钢球最大位置误差为［填写］cm，停车偏差为［填写］cm，表明系统［满足/基本满足］设计要求。</w:t>
      </w:r>
    </w:p>
    <w:p w14:paraId="2F4346C4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参考文献</w:t>
      </w:r>
    </w:p>
    <w:p w14:paraId="37DF8CB3">
      <w:pPr>
        <w:spacing w:after="60"/>
        <w:ind w:left="0" w:firstLine="0"/>
        <w:rPr>
          <w:rFonts w:hint="eastAsia" w:ascii="宋体" w:hAnsi="宋体" w:eastAsia="宋体" w:cs="宋体"/>
          <w:b w:val="0"/>
          <w:i w:val="0"/>
          <w:color w:val="auto"/>
          <w:sz w:val="19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19"/>
        </w:rPr>
        <w:t>［1］全国大学生电子设计竞赛组委会．H题：车载平衡滚球运动控制系统［Z］．2026．</w:t>
      </w:r>
    </w:p>
    <w:p w14:paraId="54D46EC8">
      <w:pPr>
        <w:spacing w:after="60"/>
        <w:ind w:left="0" w:firstLine="0"/>
        <w:rPr>
          <w:rFonts w:hint="eastAsia" w:ascii="宋体" w:hAnsi="宋体" w:eastAsia="宋体" w:cs="宋体"/>
          <w:b w:val="0"/>
          <w:i w:val="0"/>
          <w:color w:val="auto"/>
          <w:sz w:val="19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19"/>
        </w:rPr>
        <w:t>［2］TOSHIBA ELECTRONIC DEVICES &amp; STORAGE CORPORATION. TB6612FNG Driver IC for Dual DC Motor: TB6612FNG Datasheet[EB/OL]. (2014-10)[2026-07-31].</w:t>
      </w:r>
    </w:p>
    <w:p w14:paraId="68A2DAB7">
      <w:pPr>
        <w:spacing w:after="60"/>
        <w:ind w:left="0" w:firstLine="0"/>
        <w:rPr>
          <w:rFonts w:hint="eastAsia" w:ascii="宋体" w:hAnsi="宋体" w:eastAsia="宋体" w:cs="宋体"/>
          <w:b w:val="0"/>
          <w:i w:val="0"/>
          <w:color w:val="auto"/>
          <w:sz w:val="19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19"/>
        </w:rPr>
        <w:t>［3］TEXAS INSTRUMENTS. MSPM0G350x Mixed-Signal Microcontrollers With CAN-FD Interface: SLASEX6C[EB/OL]. (2025-10)[2026-07-31].</w:t>
      </w:r>
    </w:p>
    <w:p w14:paraId="15566D8B">
      <w:pPr>
        <w:spacing w:after="60"/>
        <w:ind w:left="0" w:firstLine="0"/>
        <w:rPr>
          <w:rFonts w:hint="eastAsia" w:ascii="宋体" w:hAnsi="宋体" w:eastAsia="宋体" w:cs="宋体"/>
          <w:b w:val="0"/>
          <w:i w:val="0"/>
          <w:color w:val="auto"/>
          <w:sz w:val="19"/>
        </w:rPr>
      </w:pPr>
      <w:r>
        <w:rPr>
          <w:rFonts w:hint="eastAsia" w:ascii="宋体" w:hAnsi="宋体" w:eastAsia="宋体" w:cs="宋体"/>
          <w:b w:val="0"/>
          <w:i w:val="0"/>
          <w:color w:val="auto"/>
          <w:sz w:val="19"/>
        </w:rPr>
        <w:t xml:space="preserve">［4］［TOWER PRO. MG90S Digital Servo: Product Specification[EB/OL]. [2026-07-31]. </w:t>
      </w:r>
    </w:p>
    <w:p w14:paraId="6915FCDC">
      <w:pPr>
        <w:pStyle w:val="3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附录</w:t>
      </w:r>
      <w:r>
        <w:rPr>
          <w:rFonts w:hint="eastAsia" w:ascii="Times New Roman" w:hAnsi="Times New Roman" w:eastAsia="黑体"/>
          <w:b/>
          <w:i w:val="0"/>
          <w:color w:val="000000"/>
          <w:sz w:val="28"/>
          <w:lang w:val="en-US" w:eastAsia="zh-CN"/>
        </w:rPr>
        <w:t>A</w:t>
      </w:r>
      <w:r>
        <w:rPr>
          <w:rFonts w:ascii="Times New Roman" w:hAnsi="Times New Roman" w:eastAsia="黑体"/>
          <w:b/>
          <w:i w:val="0"/>
          <w:color w:val="000000"/>
          <w:sz w:val="28"/>
        </w:rPr>
        <w:t xml:space="preserve"> 提交前检查清单</w:t>
      </w:r>
    </w:p>
    <w:p w14:paraId="07391D57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摘要中已有主控、循迹、滚球视觉、执行机构和实测结果，且不超过建议篇幅。</w:t>
      </w:r>
    </w:p>
    <w:p w14:paraId="184C00A2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全文所有方括号与“填写提示”均已替换或删除。</w:t>
      </w:r>
    </w:p>
    <w:p w14:paraId="40681716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每张图、每个表都有编号和标题，并在正文中被引用。</w:t>
      </w:r>
    </w:p>
    <w:p w14:paraId="539EAE70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所有公式中的符号、单位和参数均在首次出现时解释。</w:t>
      </w:r>
    </w:p>
    <w:p w14:paraId="22A67A2B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六项任务均有测试方法、至少3组数据、最差结果和达标结论。</w:t>
      </w:r>
    </w:p>
    <w:p w14:paraId="7015F4FD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报告中的传感器型号、按键功能、阈值和PID参数与最终烧录程序一致。</w:t>
      </w:r>
    </w:p>
    <w:p w14:paraId="13965DF4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图传截图能看到整根摆杆、钢球与刻度；录像可完整回放。</w:t>
      </w:r>
    </w:p>
    <w:p w14:paraId="1AD478FF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停车偏差使用车辆唯一基准点测量，钢球误差使用摄像头标定坐标计算。</w:t>
      </w:r>
    </w:p>
    <w:p w14:paraId="67B373FC"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□ 删除无实际实现的算法描述，参考文献与正文引用相对应。</w:t>
      </w:r>
    </w:p>
    <w:tbl>
      <w:tblPr>
        <w:tblStyle w:val="32"/>
        <w:tblW w:w="895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595B6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95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4F4"/>
            <w:tcMar>
              <w:top w:w="72" w:type="dxa"/>
              <w:left w:w="90" w:type="dxa"/>
              <w:bottom w:w="72" w:type="dxa"/>
              <w:right w:w="90" w:type="dxa"/>
            </w:tcMar>
            <w:vAlign w:val="center"/>
          </w:tcPr>
          <w:p w14:paraId="77401D02">
            <w:pPr>
              <w:spacing w:after="0"/>
              <w:ind w:firstLine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9"/>
              </w:rPr>
              <w:t>建议补充材料：</w:t>
            </w:r>
            <w:r>
              <w:rPr>
                <w:rFonts w:ascii="Times New Roman" w:hAnsi="Times New Roman" w:eastAsia="宋体"/>
                <w:b w:val="0"/>
                <w:i w:val="0"/>
                <w:color w:val="666666"/>
                <w:sz w:val="19"/>
              </w:rPr>
              <w:t>最终报告定稿前准备整车照片、摆杆机构图、原理图、主程序与两个控制流程图、视觉标定截图、六项测试原始数据及位置曲线。</w:t>
            </w:r>
          </w:p>
        </w:tc>
      </w:tr>
    </w:tbl>
    <w:p w14:paraId="6DBB0FEF"/>
    <w:sectPr>
      <w:footerReference r:id="rId6" w:type="first"/>
      <w:footerReference r:id="rId5" w:type="default"/>
      <w:pgSz w:w="11906" w:h="16838"/>
      <w:pgMar w:top="1304" w:right="1474" w:bottom="1247" w:left="1474" w:header="567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5D51B">
    <w:pPr>
      <w:pStyle w:val="24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4952C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A4F2E"/>
    <w:rsid w:val="03CE5F43"/>
    <w:rsid w:val="048B509A"/>
    <w:rsid w:val="09C82028"/>
    <w:rsid w:val="16013F56"/>
    <w:rsid w:val="175B58E8"/>
    <w:rsid w:val="201C7BDE"/>
    <w:rsid w:val="223C6DBE"/>
    <w:rsid w:val="233B1741"/>
    <w:rsid w:val="294B77A1"/>
    <w:rsid w:val="2A4E4E38"/>
    <w:rsid w:val="2F3C7955"/>
    <w:rsid w:val="316F4012"/>
    <w:rsid w:val="364C2B74"/>
    <w:rsid w:val="40254AF7"/>
    <w:rsid w:val="408B57BB"/>
    <w:rsid w:val="44111B57"/>
    <w:rsid w:val="53754134"/>
    <w:rsid w:val="57E05008"/>
    <w:rsid w:val="5AF20DEB"/>
    <w:rsid w:val="67804539"/>
    <w:rsid w:val="6ED76777"/>
    <w:rsid w:val="734C302C"/>
    <w:rsid w:val="74480B45"/>
    <w:rsid w:val="79C1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  <w:ind w:firstLine="420"/>
      <w:jc w:val="both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76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 w:line="276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76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40" w:line="288" w:lineRule="auto"/>
      <w:ind w:left="420" w:hanging="210"/>
      <w:contextualSpacing/>
    </w:pPr>
    <w:rPr>
      <w:rFonts w:ascii="Times New Roman" w:hAnsi="Times New Roman" w:eastAsia="宋体"/>
      <w:color w:val="000000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40" w:after="100" w:line="240" w:lineRule="auto"/>
      <w:ind w:firstLine="0"/>
      <w:jc w:val="center"/>
    </w:pPr>
    <w:rPr>
      <w:rFonts w:ascii="Times New Roman" w:hAnsi="Times New Roman" w:eastAsia="宋体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40" w:line="288" w:lineRule="auto"/>
      <w:ind w:left="420" w:hanging="210"/>
      <w:contextualSpacing/>
    </w:pPr>
    <w:rPr>
      <w:rFonts w:ascii="Times New Roman" w:hAnsi="Times New Roman" w:eastAsia="宋体"/>
      <w:color w:val="000000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占位提示"/>
    <w:uiPriority w:val="0"/>
    <w:pPr>
      <w:spacing w:after="80" w:line="276" w:lineRule="auto"/>
      <w:ind w:firstLine="0"/>
    </w:pPr>
    <w:rPr>
      <w:rFonts w:ascii="Times New Roman" w:hAnsi="Times New Roman" w:eastAsia="宋体" w:cstheme="minorBidi"/>
      <w:color w:val="666666"/>
      <w:sz w:val="19"/>
      <w:szCs w:val="22"/>
      <w:lang w:val="en-US" w:eastAsia="en-US" w:bidi="ar-SA"/>
    </w:rPr>
  </w:style>
  <w:style w:type="paragraph" w:customStyle="1" w:styleId="165">
    <w:name w:val="公式"/>
    <w:uiPriority w:val="0"/>
    <w:pPr>
      <w:spacing w:before="60" w:after="60" w:line="276" w:lineRule="auto"/>
      <w:ind w:firstLine="0"/>
      <w:jc w:val="center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3972</Words>
  <Characters>4435</Characters>
  <Lines>0</Lines>
  <Paragraphs>0</Paragraphs>
  <TotalTime>101</TotalTime>
  <ScaleCrop>false</ScaleCrop>
  <LinksUpToDate>false</LinksUpToDate>
  <CharactersWithSpaces>4561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参赛队伍</dc:creator>
  <dc:description>generated by python-docx</dc:description>
  <cp:keywords>循迹小车；滚球控制；视觉检测；PID；电子设计竞赛</cp:keywords>
  <cp:lastModifiedBy>24250409</cp:lastModifiedBy>
  <dcterms:modified xsi:type="dcterms:W3CDTF">2026-07-31T14:24:02Z</dcterms:modified>
  <dc:subject>全国大学生电子设计竞赛设计报告模板</dc:subject>
  <dc:title>H题 车载平衡滚球运动控制系统——设计报告模板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eyJoZGlkIjoiMmFmNTc5MTdiNzc1ZTVjMjZkMDM4MDg1ZGNmMGVhNzciLCJ1c2VySWQiOiIxNzY2OTg3MjExIn0=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D31A1D90F2994039A9334FABAD1E880A_12</vt:lpwstr>
  </property>
</Properties>
</file>