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方法：训练策略（SAM 主干与 DINOv3 主干）</w:t>
      </w:r>
    </w:p>
    <w:p>
      <w:pPr>
        <w:pStyle w:val="Heading2"/>
      </w:pPr>
      <w:r>
        <w:t xml:space="preserve">3.X 训练策略</w:t>
      </w:r>
    </w:p>
    <w:p>
      <w:pPr>
        <w:pStyle w:val="Heading3"/>
      </w:pPr>
      <w:r>
        <w:t xml:space="preserve">3.X.1 概述</w:t>
      </w:r>
    </w:p>
    <w:p>
      <w:pPr>
        <w:spacing w:after="200" w:line="360"/>
      </w:pPr>
      <w:r>
        <w:rPr>
          <w:rFonts w:ascii="Arial" w:cs="Arial" w:eastAsia="Arial" w:hAnsi="Arial"/>
          <w:sz w:val="22"/>
          <w:szCs w:val="22"/>
        </w:rPr>
        <w:t xml:space="preserve">DINOSAM 采用与图像编码器选择无关的两阶段训练策略，结合迭代提示精炼机制。该框架支持两种主干配置：(i) 原始 SAM ViT-B 图像编码器，以及 (ii) 配备轻量级 Mona 适配器的 DINOv3 ViT-B/16 编码器。在两种配置中，主干权重在整个训练过程中保持冻结，分割和深度预测任务按顺序学习——第一阶段仅训练掩码分支，第二阶段仅训练深度分支。两种配置共享相同的解码器架构、损失函数和迭代精炼机制；它们的区别仅在于图像嵌入的生成方式以及编码器层面哪些参数是可训练的。下面分别描述各个组成部分。</w:t>
      </w:r>
    </w:p>
    <w:p>
      <w:pPr>
        <w:pStyle w:val="Heading3"/>
      </w:pPr>
      <w:r>
        <w:t xml:space="preserve">3.X.2 图像编码器配置</w:t>
      </w:r>
    </w:p>
    <w:p>
      <w:pPr>
        <w:spacing w:after="200" w:line="360"/>
      </w:pPr>
      <w:r>
        <w:rPr>
          <w:rFonts w:ascii="Arial" w:cs="Arial" w:eastAsia="Arial" w:hAnsi="Arial"/>
          <w:b/>
          <w:bCs/>
          <w:sz w:val="22"/>
          <w:szCs w:val="22"/>
        </w:rPr>
        <w:t xml:space="preserve">SAM ViT-B 编码器。</w:t>
      </w:r>
      <w:r>
        <w:rPr>
          <w:rFonts w:ascii="Arial" w:cs="Arial" w:eastAsia="Arial" w:hAnsi="Arial"/>
          <w:sz w:val="22"/>
          <w:szCs w:val="22"/>
        </w:rPr>
        <w:t xml:space="preserve">在默认配置（encoder_type = "sam"）中，输入图像使用最长边缩放调整到 1024×1024，使用 SAM 特定的像素统计量进行归一化，并零填充为正方形。冻结的 SAM ViT-B 编码器生成图像嵌入 F ∈ R^{B×256×64×64}。不应用额外的适配层；编码器输出直接传递给掩码分支和深度分支。</w:t>
      </w:r>
    </w:p>
    <w:p>
      <w:pPr>
        <w:spacing w:after="200" w:line="360"/>
      </w:pPr>
      <w:r>
        <w:rPr>
          <w:rFonts w:ascii="Arial" w:cs="Arial" w:eastAsia="Arial" w:hAnsi="Arial"/>
          <w:b/>
          <w:bCs/>
          <w:sz w:val="22"/>
          <w:szCs w:val="22"/>
        </w:rPr>
        <w:t xml:space="preserve">DINOv3 ViT-B/16 编码器（含 Mona 适配器）。</w:t>
      </w:r>
      <w:r>
        <w:rPr>
          <w:rFonts w:ascii="Arial" w:cs="Arial" w:eastAsia="Arial" w:hAnsi="Arial"/>
          <w:sz w:val="22"/>
          <w:szCs w:val="22"/>
        </w:rPr>
        <w:t xml:space="preserve">在替代配置（encoder_type = "dinov3"）中，SAM ViT-B 编码器被 DINOv3 ViT-B/16 主干替代。输入图像通过双线性插值调整到 1024×1024 并使用 ImageNet 统计量进行归一化。冻结的 DINOv3 主干提取 patch 令牌 Z ∈ R^{B×N×768}，其中 N = 64×64 = 4096。这些令牌随后通过两个串联的 Mona 适配器和一个线性投影层处理，以生成与 SAM 编码器相同空间中的嵌入：</w:t>
      </w:r>
    </w:p>
    <w:p>
      <w:pPr>
        <w:spacing w:after="120"/>
        <w:jc w:val="center"/>
      </w:pPr>
      <w:r>
        <w:rPr>
          <w:rFonts w:ascii="Cambria Math" w:cs="Cambria Math" w:eastAsia="Cambria Math" w:hAnsi="Cambria Math"/>
          <w:i/>
          <w:iCs/>
          <w:sz w:val="22"/>
          <w:szCs w:val="22"/>
        </w:rPr>
        <w:t xml:space="preserve">F = Reshape(Proj(Mona₂(Mona₁(Z)))) ∈ R^{B×256×64×64}</w:t>
      </w:r>
    </w:p>
    <w:p>
      <w:pPr>
        <w:spacing w:after="200" w:line="360"/>
      </w:pPr>
      <w:r>
        <w:rPr>
          <w:rFonts w:ascii="Arial" w:cs="Arial" w:eastAsia="Arial" w:hAnsi="Arial"/>
          <w:sz w:val="22"/>
          <w:szCs w:val="22"/>
        </w:rPr>
        <w:t xml:space="preserve">其中 Proj: R⁷⁶⁸ → R²⁵⁶ 是一个可学习的线性投影。Mona 适配器和投影层是编码器层面唯一的可训练组件；DINOv3 主干本身保持冻结。这种设计在不修改主干权重的情况下实现了预训练 DINOv3 特征的任务特定适配。</w:t>
      </w:r>
    </w:p>
    <w:p>
      <w:pPr>
        <w:spacing w:after="200" w:line="360"/>
      </w:pPr>
      <w:r>
        <w:rPr>
          <w:rFonts w:ascii="Arial" w:cs="Arial" w:eastAsia="Arial" w:hAnsi="Arial"/>
          <w:b/>
          <w:bCs/>
          <w:sz w:val="22"/>
          <w:szCs w:val="22"/>
        </w:rPr>
        <w:t xml:space="preserve">Mona 适配器架构。</w:t>
      </w:r>
      <w:r>
        <w:rPr>
          <w:rFonts w:ascii="Arial" w:cs="Arial" w:eastAsia="Arial" w:hAnsi="Arial"/>
          <w:sz w:val="22"/>
          <w:szCs w:val="22"/>
        </w:rPr>
        <w:t xml:space="preserve">每个 Mona 适配器由一个带可学习缩放因子 γ 的层归一化分支和一个带可学习缩放因子 γ_x 的恒等分支组成，后接一个带多尺度空间卷积模块（MonaOp）的瓶颈 MLP：</w:t>
      </w:r>
    </w:p>
    <w:p>
      <w:pPr>
        <w:spacing w:after="120"/>
        <w:jc w:val="center"/>
      </w:pPr>
      <w:r>
        <w:rPr>
          <w:rFonts w:ascii="Cambria Math" w:cs="Cambria Math" w:eastAsia="Cambria Math" w:hAnsi="Cambria Math"/>
          <w:i/>
          <w:iCs/>
          <w:sz w:val="22"/>
          <w:szCs w:val="22"/>
        </w:rPr>
        <w:t xml:space="preserve">X' = LN(X) ⊙ γ + X ⊙ γ_x</w:t>
      </w:r>
    </w:p>
    <w:p>
      <w:pPr>
        <w:spacing w:after="120"/>
        <w:jc w:val="center"/>
      </w:pPr>
      <w:r>
        <w:rPr>
          <w:rFonts w:ascii="Cambria Math" w:cs="Cambria Math" w:eastAsia="Cambria Math" w:hAnsi="Cambria Math"/>
          <w:i/>
          <w:iCs/>
          <w:sz w:val="22"/>
          <w:szCs w:val="22"/>
        </w:rPr>
        <w:t xml:space="preserve">X̂ = X + W₂(GELU(MonaOp(W₁X')))</w:t>
      </w:r>
    </w:p>
    <w:p>
      <w:pPr>
        <w:spacing w:after="200" w:line="360"/>
      </w:pPr>
      <w:r>
        <w:rPr>
          <w:rFonts w:ascii="Arial" w:cs="Arial" w:eastAsia="Arial" w:hAnsi="Arial"/>
          <w:sz w:val="22"/>
          <w:szCs w:val="22"/>
        </w:rPr>
        <w:t xml:space="preserve">其中 W₁ ∈ R^{768×96} 和 W₂ ∈ R^{96×768} 构成瓶颈（压缩比 r = 8），MonaOp 在核大小 3×3、5×5 和 7×7 下应用三个深度可分离卷积，与恒等连接求平均后，再接一个 1×1 逐点卷积：</w:t>
      </w:r>
    </w:p>
    <w:p>
      <w:pPr>
        <w:spacing w:after="120"/>
        <w:jc w:val="center"/>
      </w:pPr>
      <w:r>
        <w:rPr>
          <w:rFonts w:ascii="Cambria Math" w:cs="Cambria Math" w:eastAsia="Cambria Math" w:hAnsi="Cambria Math"/>
          <w:i/>
          <w:iCs/>
          <w:sz w:val="22"/>
          <w:szCs w:val="22"/>
        </w:rPr>
        <w:t xml:space="preserve">MonaOp(x) = x + Conv_{1×1}((DWConv₃(x) + DWConv₅(x) + DWConv₇(x))/3 + x)</w:t>
      </w:r>
    </w:p>
    <w:p>
      <w:pPr>
        <w:spacing w:after="200" w:line="360"/>
      </w:pPr>
      <w:r>
        <w:rPr>
          <w:rFonts w:ascii="Arial" w:cs="Arial" w:eastAsia="Arial" w:hAnsi="Arial"/>
          <w:sz w:val="22"/>
          <w:szCs w:val="22"/>
        </w:rPr>
        <w:t xml:space="preserve">多尺度设计在多个感受野下捕获空间模式，同时瓶颈结构保持了较低的参数量。GELU 激活后应用 Dropout（p = 0.1）进行正则化。</w:t>
      </w:r>
    </w:p>
    <w:p>
      <w:pPr>
        <w:pStyle w:val="Heading3"/>
      </w:pPr>
      <w:r>
        <w:t xml:space="preserve">3.X.3 深度分支初始化</w:t>
      </w:r>
    </w:p>
    <w:p>
      <w:pPr>
        <w:spacing w:after="200" w:line="360"/>
      </w:pPr>
      <w:r>
        <w:rPr>
          <w:rFonts w:ascii="Arial" w:cs="Arial" w:eastAsia="Arial" w:hAnsi="Arial"/>
          <w:sz w:val="22"/>
          <w:szCs w:val="22"/>
        </w:rPr>
        <w:t xml:space="preserve">由于深度分支与掩码分支共享相同的架构模板——两者均由提示编码器和基于 Transformer 的解码器组成——我们从预训练的 SAM 权重初始化深度分支以提供热启动。外层提示编码器 E_outer 通过复制 SAM 提示编码器 E_inner 的完整状态字典进行初始化。对于 DepthMaskDecoder D_depth，我们从 SAM 掩码解码器 D_mask 迁移以下组件：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深度分支组件</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初始化来源</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说明</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双向 Transformer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D_mask.transformer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结构相同，所有权重复制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深度令牌 e_depth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IoU 令牌 e_iou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形状相同：(1, 256)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掩码令牌 e_mask⁽¹⁾</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D_mask.mask_tokens[0]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四个掩码令牌中的第一个</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输出上采样层</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D_mask.output_upscaling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相同的 ConvTranspose2d 堆栈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超网络 MLP[0]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D_mask.output_hypernetworks_mlps[0]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四个超网络 MLP 中的第一个</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深度预测头</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随机初始化</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256 → 256 → 1（3 层）</w:t>
            </w:r>
          </w:p>
        </w:tc>
      </w:tr>
    </w:tbl>
    <w:p>
      <w:pPr>
        <w:spacing w:after="100"/>
      </w:pPr>
    </w:p>
    <w:p>
      <w:pPr>
        <w:spacing w:after="200" w:line="360"/>
      </w:pPr>
      <w:r>
        <w:rPr>
          <w:rFonts w:ascii="Arial" w:cs="Arial" w:eastAsia="Arial" w:hAnsi="Arial"/>
          <w:sz w:val="22"/>
          <w:szCs w:val="22"/>
        </w:rPr>
        <w:t xml:space="preserve">该初始化对 SAM 主干和 DINOv3 主干配置同等适用，因为深度分支操作的图像嵌入 F 无论编码器选择如何都具有相同的维度。</w:t>
      </w:r>
    </w:p>
    <w:p>
      <w:pPr>
        <w:pStyle w:val="Heading3"/>
      </w:pPr>
      <w:r>
        <w:t xml:space="preserve">3.X.4 第一阶段：掩码分支训练</w:t>
      </w:r>
    </w:p>
    <w:p>
      <w:pPr>
        <w:spacing w:after="200" w:line="360"/>
      </w:pPr>
      <w:r>
        <w:rPr>
          <w:rFonts w:ascii="Arial" w:cs="Arial" w:eastAsia="Arial" w:hAnsi="Arial"/>
          <w:sz w:val="22"/>
          <w:szCs w:val="22"/>
        </w:rPr>
        <w:t xml:space="preserve">在第一阶段，训练掩码分支（SAM 提示编码器 + 掩码解码器），同时冻结图像编码器和深度分支。训练目标结合了用于空间重叠的 Dice 损失和 IoU 预测损失：</w:t>
      </w:r>
    </w:p>
    <w:p>
      <w:pPr>
        <w:spacing w:after="120"/>
        <w:jc w:val="center"/>
      </w:pPr>
      <w:r>
        <w:rPr>
          <w:rFonts w:ascii="Cambria Math" w:cs="Cambria Math" w:eastAsia="Cambria Math" w:hAnsi="Cambria Math"/>
          <w:i/>
          <w:iCs/>
          <w:sz w:val="22"/>
          <w:szCs w:val="22"/>
        </w:rPr>
        <w:t xml:space="preserve">L_Phase1 = L_dice(M̂, M*) + MSE(q̂, IoU(M̂, M*))</w:t>
      </w:r>
    </w:p>
    <w:p>
      <w:pPr>
        <w:spacing w:after="200" w:line="360"/>
      </w:pPr>
      <w:r>
        <w:rPr>
          <w:rFonts w:ascii="Arial" w:cs="Arial" w:eastAsia="Arial" w:hAnsi="Arial"/>
          <w:sz w:val="22"/>
          <w:szCs w:val="22"/>
        </w:rPr>
        <w:t xml:space="preserve">其中 M̂ 是预测掩码，M* 是真值掩码，q̂ 是预测 IoU 分数，且</w:t>
      </w:r>
    </w:p>
    <w:p>
      <w:pPr>
        <w:spacing w:after="120"/>
        <w:jc w:val="center"/>
      </w:pPr>
      <w:r>
        <w:rPr>
          <w:rFonts w:ascii="Cambria Math" w:cs="Cambria Math" w:eastAsia="Cambria Math" w:hAnsi="Cambria Math"/>
          <w:i/>
          <w:iCs/>
          <w:sz w:val="22"/>
          <w:szCs w:val="22"/>
        </w:rPr>
        <w:t xml:space="preserve">L_dice = 1 − (2∑σ(M̂)·M* + ε) / (∑σ(M̂) + ∑M* + ε)</w:t>
      </w:r>
    </w:p>
    <w:p>
      <w:pPr>
        <w:spacing w:after="200" w:line="360"/>
      </w:pPr>
      <w:r>
        <w:rPr>
          <w:rFonts w:ascii="Arial" w:cs="Arial" w:eastAsia="Arial" w:hAnsi="Arial"/>
          <w:b/>
          <w:bCs/>
          <w:sz w:val="22"/>
          <w:szCs w:val="22"/>
        </w:rPr>
        <w:t xml:space="preserve">可训练参数差异。</w:t>
      </w:r>
      <w:r>
        <w:rPr>
          <w:rFonts w:ascii="Arial" w:cs="Arial" w:eastAsia="Arial" w:hAnsi="Arial"/>
          <w:sz w:val="22"/>
          <w:szCs w:val="22"/>
        </w:rPr>
        <w:t xml:space="preserve">在 SAM 主干配置中，仅更新提示编码器和掩码解码器参数。在 DINOv3 主干配置中，Mona 适配器和投影层额外可训练，因为 freeze_image_encoder() 仅冻结 DINOv3 主干权重，而保留适配模块可学习。这意味着对于 DINOv3 变体，第一阶段联合优化图像级适配和掩码预测，使编码器输出能够与下游解码器协同适应。</w:t>
      </w:r>
    </w:p>
    <w:p>
      <w:pPr>
        <w:pStyle w:val="Heading3"/>
      </w:pPr>
      <w:r>
        <w:t xml:space="preserve">3.X.5 第二阶段：深度分支训练</w:t>
      </w:r>
    </w:p>
    <w:p>
      <w:pPr>
        <w:spacing w:after="200" w:line="360"/>
      </w:pPr>
      <w:r>
        <w:rPr>
          <w:rFonts w:ascii="Arial" w:cs="Arial" w:eastAsia="Arial" w:hAnsi="Arial"/>
          <w:sz w:val="22"/>
          <w:szCs w:val="22"/>
        </w:rPr>
        <w:t xml:space="preserve">第二阶段冻结所有模型参数，然后选择性地仅解冻深度分支（外层提示编码器 + DepthMaskDecoder）。这对两种主干配置统一适用——特别是对于 DINOv3 变体，在第一阶段训练的 Mona 适配器在第二阶段被冻结。掩码分支执行单次前向传播以生成低分辨率掩码 M̂^low ∈ R^{1×256×256}，该掩码从计算图中分离并作为密集提示传递给深度分支。</w:t>
      </w:r>
    </w:p>
    <w:p>
      <w:pPr>
        <w:spacing w:after="200" w:line="360"/>
      </w:pPr>
      <w:r>
        <w:rPr>
          <w:rFonts w:ascii="Arial" w:cs="Arial" w:eastAsia="Arial" w:hAnsi="Arial"/>
          <w:sz w:val="22"/>
          <w:szCs w:val="22"/>
        </w:rPr>
        <w:t xml:space="preserve">训练目标为：</w:t>
      </w:r>
    </w:p>
    <w:p>
      <w:pPr>
        <w:spacing w:after="120"/>
        <w:jc w:val="center"/>
      </w:pPr>
      <w:r>
        <w:rPr>
          <w:rFonts w:ascii="Cambria Math" w:cs="Cambria Math" w:eastAsia="Cambria Math" w:hAnsi="Cambria Math"/>
          <w:i/>
          <w:iCs/>
          <w:sz w:val="22"/>
          <w:szCs w:val="22"/>
        </w:rPr>
        <w:t xml:space="preserve">L_Phase2 = λ_d · MSE(d̂, d*)</w:t>
      </w:r>
    </w:p>
    <w:p>
      <w:pPr>
        <w:spacing w:after="200" w:line="360"/>
      </w:pPr>
      <w:r>
        <w:rPr>
          <w:rFonts w:ascii="Arial" w:cs="Arial" w:eastAsia="Arial" w:hAnsi="Arial"/>
          <w:sz w:val="22"/>
          <w:szCs w:val="22"/>
        </w:rPr>
        <w:t xml:space="preserve">其中 d̂ 是预测深度，d* 是真值深度，λ_d 是权重系数。</w:t>
      </w:r>
    </w:p>
    <w:p>
      <w:pPr>
        <w:spacing w:after="200" w:line="360"/>
      </w:pPr>
      <w:r>
        <w:rPr>
          <w:rFonts w:ascii="Arial" w:cs="Arial" w:eastAsia="Arial" w:hAnsi="Arial"/>
          <w:b/>
          <w:bCs/>
          <w:sz w:val="22"/>
          <w:szCs w:val="22"/>
        </w:rPr>
        <w:t xml:space="preserve">阶段过渡。</w:t>
      </w:r>
      <w:r>
        <w:rPr>
          <w:rFonts w:ascii="Arial" w:cs="Arial" w:eastAsia="Arial" w:hAnsi="Arial"/>
          <w:sz w:val="22"/>
          <w:szCs w:val="22"/>
        </w:rPr>
        <w:t xml:space="preserve">在第二阶段开始时，模型加载第一阶段的最佳检查点，然后通过 init_depth_from_sam() 从（已经微调的）SAM 掩码解码器重新初始化深度分支。这确保了深度分支能够受益于第一阶段学到的改进的掩码解码器表征，同时深度预测头从干净的随机初始化开始。</w:t>
      </w:r>
    </w:p>
    <w:p>
      <w:pPr>
        <w:pStyle w:val="Heading3"/>
      </w:pPr>
      <w:r>
        <w:t xml:space="preserve">3.X.6 迭代提示精炼</w:t>
      </w:r>
    </w:p>
    <w:p>
      <w:pPr>
        <w:spacing w:after="200" w:line="360"/>
      </w:pPr>
      <w:r>
        <w:rPr>
          <w:rFonts w:ascii="Arial" w:cs="Arial" w:eastAsia="Arial" w:hAnsi="Arial"/>
          <w:sz w:val="22"/>
          <w:szCs w:val="22"/>
        </w:rPr>
        <w:t xml:space="preserve">两个阶段都支持每个训练步骤 K 次子迭代的迭代精炼机制。该机制与主干无关，对两种编码器配置的操作完全相同。</w:t>
      </w:r>
    </w:p>
    <w:p>
      <w:pPr>
        <w:spacing w:after="200" w:line="360"/>
      </w:pPr>
      <w:r>
        <w:rPr>
          <w:rFonts w:ascii="Arial" w:cs="Arial" w:eastAsia="Arial" w:hAnsi="Arial"/>
          <w:b/>
          <w:bCs/>
          <w:sz w:val="22"/>
          <w:szCs w:val="22"/>
        </w:rPr>
        <w:t xml:space="preserve">第一阶段迭代精炼。</w:t>
      </w:r>
      <w:r>
        <w:rPr>
          <w:rFonts w:ascii="Arial" w:cs="Arial" w:eastAsia="Arial" w:hAnsi="Arial"/>
          <w:sz w:val="22"/>
          <w:szCs w:val="22"/>
        </w:rPr>
        <w:t xml:space="preserve">在每次子迭代 k &lt; K 之后，基于误差驱动的提示生成器计算差异图 Δ_k = M̂_k − M*，并生成一个修正性正点（从漏检前景采样，Δ_k = −1）和一个修正性负点（从假阳性采样，Δ_k = +1；当不存在假阳性时退而采用物体边界附近的背景）。新的点以累积方式追加：</w:t>
      </w:r>
    </w:p>
    <w:p>
      <w:pPr>
        <w:spacing w:after="120"/>
        <w:jc w:val="center"/>
      </w:pPr>
      <w:r>
        <w:rPr>
          <w:rFonts w:ascii="Cambria Math" w:cs="Cambria Math" w:eastAsia="Cambria Math" w:hAnsi="Cambria Math"/>
          <w:i/>
          <w:iCs/>
          <w:sz w:val="22"/>
          <w:szCs w:val="22"/>
        </w:rPr>
        <w:t xml:space="preserve">P_{k+1} = P_k ∪ {p_k⁺, p_k⁻}</w:t>
      </w:r>
    </w:p>
    <w:p>
      <w:pPr>
        <w:spacing w:after="200" w:line="360"/>
      </w:pPr>
      <w:r>
        <w:rPr>
          <w:rFonts w:ascii="Arial" w:cs="Arial" w:eastAsia="Arial" w:hAnsi="Arial"/>
          <w:sz w:val="22"/>
          <w:szCs w:val="22"/>
        </w:rPr>
        <w:t xml:space="preserve">以概率 p_mask，当前子迭代的低分辨率掩码 M̂_k^low 作为密集掩码提示额外传递给下一次迭代。损失取平均：</w:t>
      </w:r>
    </w:p>
    <w:p>
      <w:pPr>
        <w:spacing w:after="120"/>
        <w:jc w:val="center"/>
      </w:pPr>
      <w:r>
        <w:rPr>
          <w:rFonts w:ascii="Cambria Math" w:cs="Cambria Math" w:eastAsia="Cambria Math" w:hAnsi="Cambria Math"/>
          <w:i/>
          <w:iCs/>
          <w:sz w:val="22"/>
          <w:szCs w:val="22"/>
        </w:rPr>
        <w:t xml:space="preserve">L_Phase1^iter = (1/K) ∑_{k=1}^{K} [L_dice(M̂_k, M*) + MSE(q̂_k, IoU_k)]</w:t>
      </w:r>
    </w:p>
    <w:p>
      <w:pPr>
        <w:spacing w:after="200" w:line="360"/>
      </w:pPr>
      <w:r>
        <w:rPr>
          <w:rFonts w:ascii="Arial" w:cs="Arial" w:eastAsia="Arial" w:hAnsi="Arial"/>
          <w:b/>
          <w:bCs/>
          <w:sz w:val="22"/>
          <w:szCs w:val="22"/>
        </w:rPr>
        <w:t xml:space="preserve">第二阶段迭代精炼。</w:t>
      </w:r>
      <w:r>
        <w:rPr>
          <w:rFonts w:ascii="Arial" w:cs="Arial" w:eastAsia="Arial" w:hAnsi="Arial"/>
          <w:sz w:val="22"/>
          <w:szCs w:val="22"/>
        </w:rPr>
        <w:t xml:space="preserve">掩码分支运行一次以生成 M̂^low。深度分支随后迭代 K 次，从无点提示开始（P_0^depth = ∅）。在每次子迭代后，深度解码器的掩码输出 M̂_{dec,k} 被下采样到 256×256 并与 M* 比较，通过相同的基于误差驱动的生成器生成新的修正性点提示。损失为：</w:t>
      </w:r>
    </w:p>
    <w:p>
      <w:pPr>
        <w:spacing w:after="120"/>
        <w:jc w:val="center"/>
      </w:pPr>
      <w:r>
        <w:rPr>
          <w:rFonts w:ascii="Cambria Math" w:cs="Cambria Math" w:eastAsia="Cambria Math" w:hAnsi="Cambria Math"/>
          <w:i/>
          <w:iCs/>
          <w:sz w:val="22"/>
          <w:szCs w:val="22"/>
        </w:rPr>
        <w:t xml:space="preserve">L_Phase2^iter = λ_d · (1/K) ∑_{k=1}^{K} MSE(d̂_k, d*)</w:t>
      </w:r>
    </w:p>
    <w:p>
      <w:pPr>
        <w:pStyle w:val="Heading3"/>
      </w:pPr>
      <w:r>
        <w:t xml:space="preserve">3.X.7 实现细节</w:t>
      </w:r>
    </w:p>
    <w:p>
      <w:pPr>
        <w:spacing w:after="200" w:line="360"/>
      </w:pPr>
      <w:r>
        <w:rPr>
          <w:rFonts w:ascii="Arial" w:cs="Arial" w:eastAsia="Arial" w:hAnsi="Arial"/>
          <w:sz w:val="22"/>
          <w:szCs w:val="22"/>
        </w:rPr>
        <w:t xml:space="preserve">两种主干配置均使用 AdamW 优化器，配合 StepLR 调度器（每 10 个 epoch 衰减因子 0.5）。数据加载使用 4 个 worker 并启用固定内存。检查点在固定间隔、最佳验证损失处以及每个 epoch 结束时保存，以支持训练恢复。两种主干配置通过 encoder_type 参数在模型构建时选择，并共享所有其他超参数。</w:t>
      </w:r>
    </w:p>
    <w:p>
      <w:pPr>
        <w:spacing w:after="200" w:line="360"/>
      </w:pPr>
      <w:r>
        <w:rPr>
          <w:rFonts w:ascii="Arial" w:cs="Arial" w:eastAsia="Arial" w:hAnsi="Arial"/>
          <w:sz w:val="22"/>
          <w:szCs w:val="22"/>
        </w:rPr>
        <w:t xml:space="preserve">各阶段和主干的可训练参数总结：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阶段</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SAM 主干</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DINOv3 主干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第一阶段</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prompt_encoder, mask_decoder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prompt_encoder, mask_decoder, Mona₁, Mona₂, Proj</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第二阶段</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outer_prompt_encoder, depth_decoder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outer_prompt_encoder, depth_decoder</w:t>
            </w:r>
          </w:p>
        </w:tc>
      </w:tr>
    </w:tbl>
    <w:p>
      <w:pPr>
        <w:spacing w:after="100"/>
      </w:pPr>
    </w:p>
    <w:p>
      <w:pPr>
        <w:pBdr>
          <w:bottom w:val="single" w:color="2E75B6" w:sz="6" w:space="1"/>
        </w:pBdr>
        <w:spacing w:after="300"/>
      </w:pPr>
    </w:p>
    <w:p>
      <w:pPr>
        <w:pStyle w:val="Heading2"/>
      </w:pPr>
      <w:r>
        <w:t xml:space="preserve">章节大纲</w:t>
      </w:r>
    </w:p>
    <w:p>
      <w:pPr>
        <w:pStyle w:val="ListParagraph"/>
        <w:numPr>
          <w:ilvl w:val="0"/>
          <w:numId w:val="2"/>
        </w:numPr>
        <w:spacing w:after="200" w:line="360"/>
      </w:pPr>
      <w:r>
        <w:rPr>
          <w:rFonts w:ascii="Arial" w:cs="Arial" w:eastAsia="Arial" w:hAnsi="Arial"/>
          <w:sz w:val="22"/>
          <w:szCs w:val="22"/>
        </w:rPr>
        <w:t xml:space="preserve">概述——统一的两阶段框架，主干无关设计</w:t>
      </w:r>
    </w:p>
    <w:p>
      <w:pPr>
        <w:pStyle w:val="ListParagraph"/>
        <w:numPr>
          <w:ilvl w:val="0"/>
          <w:numId w:val="2"/>
        </w:numPr>
        <w:spacing w:after="200" w:line="360"/>
      </w:pPr>
      <w:r>
        <w:rPr>
          <w:rFonts w:ascii="Arial" w:cs="Arial" w:eastAsia="Arial" w:hAnsi="Arial"/>
          <w:sz w:val="22"/>
          <w:szCs w:val="22"/>
        </w:rPr>
        <w:t xml:space="preserve">图像编码器配置——SAM ViT-B 与 DINOv3 + Mona，预处理差异</w:t>
      </w:r>
    </w:p>
    <w:p>
      <w:pPr>
        <w:pStyle w:val="ListParagraph"/>
        <w:numPr>
          <w:ilvl w:val="0"/>
          <w:numId w:val="2"/>
        </w:numPr>
        <w:spacing w:after="200" w:line="360"/>
      </w:pPr>
      <w:r>
        <w:rPr>
          <w:rFonts w:ascii="Arial" w:cs="Arial" w:eastAsia="Arial" w:hAnsi="Arial"/>
          <w:sz w:val="22"/>
          <w:szCs w:val="22"/>
        </w:rPr>
        <w:t xml:space="preserve">Mona 适配器架构——多尺度深度卷积 + 瓶颈 MLP</w:t>
      </w:r>
    </w:p>
    <w:p>
      <w:pPr>
        <w:pStyle w:val="ListParagraph"/>
        <w:numPr>
          <w:ilvl w:val="0"/>
          <w:numId w:val="2"/>
        </w:numPr>
        <w:spacing w:after="200" w:line="360"/>
      </w:pPr>
      <w:r>
        <w:rPr>
          <w:rFonts w:ascii="Arial" w:cs="Arial" w:eastAsia="Arial" w:hAnsi="Arial"/>
          <w:sz w:val="22"/>
          <w:szCs w:val="22"/>
        </w:rPr>
        <w:t xml:space="preserve">深度分支初始化——从 SAM 迁移权重（表格形式）</w:t>
      </w:r>
    </w:p>
    <w:p>
      <w:pPr>
        <w:pStyle w:val="ListParagraph"/>
        <w:numPr>
          <w:ilvl w:val="0"/>
          <w:numId w:val="2"/>
        </w:numPr>
        <w:spacing w:after="200" w:line="360"/>
      </w:pPr>
      <w:r>
        <w:rPr>
          <w:rFonts w:ascii="Arial" w:cs="Arial" w:eastAsia="Arial" w:hAnsi="Arial"/>
          <w:sz w:val="22"/>
          <w:szCs w:val="22"/>
        </w:rPr>
        <w:t xml:space="preserve">第一阶段——掩码训练、损失函数、两种主干之间的可训练参数差异</w:t>
      </w:r>
    </w:p>
    <w:p>
      <w:pPr>
        <w:pStyle w:val="ListParagraph"/>
        <w:numPr>
          <w:ilvl w:val="0"/>
          <w:numId w:val="2"/>
        </w:numPr>
        <w:spacing w:after="200" w:line="360"/>
      </w:pPr>
      <w:r>
        <w:rPr>
          <w:rFonts w:ascii="Arial" w:cs="Arial" w:eastAsia="Arial" w:hAnsi="Arial"/>
          <w:sz w:val="22"/>
          <w:szCs w:val="22"/>
        </w:rPr>
        <w:t xml:space="preserve">第二阶段——深度训练、损失函数、阶段过渡机制</w:t>
      </w:r>
    </w:p>
    <w:p>
      <w:pPr>
        <w:pStyle w:val="ListParagraph"/>
        <w:numPr>
          <w:ilvl w:val="0"/>
          <w:numId w:val="2"/>
        </w:numPr>
        <w:spacing w:after="200" w:line="360"/>
      </w:pPr>
      <w:r>
        <w:rPr>
          <w:rFonts w:ascii="Arial" w:cs="Arial" w:eastAsia="Arial" w:hAnsi="Arial"/>
          <w:sz w:val="22"/>
          <w:szCs w:val="22"/>
        </w:rPr>
        <w:t xml:space="preserve">迭代精炼——基于误差的提示生成、第一阶段与第二阶段的差异</w:t>
      </w:r>
    </w:p>
    <w:p>
      <w:pPr>
        <w:pStyle w:val="ListParagraph"/>
        <w:numPr>
          <w:ilvl w:val="0"/>
          <w:numId w:val="2"/>
        </w:numPr>
        <w:spacing w:after="200" w:line="360"/>
      </w:pPr>
      <w:r>
        <w:rPr>
          <w:rFonts w:ascii="Arial" w:cs="Arial" w:eastAsia="Arial" w:hAnsi="Arial"/>
          <w:sz w:val="22"/>
          <w:szCs w:val="22"/>
        </w:rPr>
        <w:t xml:space="preserve">实现细节——优化器、调度器、可训练参数汇总表</w:t>
      </w:r>
    </w:p>
    <w:p>
      <w:pPr>
        <w:pBdr>
          <w:bottom w:val="single" w:color="2E75B6" w:sz="6" w:space="1"/>
        </w:pBdr>
        <w:spacing w:after="300"/>
      </w:pPr>
    </w:p>
    <w:p>
      <w:pPr>
        <w:pStyle w:val="Heading2"/>
      </w:pPr>
      <w:r>
        <w:t xml:space="preserve">假设或缺失输入</w:t>
      </w:r>
    </w:p>
    <w:p>
      <w:pPr>
        <w:pStyle w:val="ListParagraph"/>
        <w:numPr>
          <w:ilvl w:val="0"/>
          <w:numId w:val="3"/>
        </w:numPr>
        <w:spacing w:after="200" w:line="360"/>
      </w:pPr>
      <w:r>
        <w:rPr>
          <w:rFonts w:ascii="Arial" w:cs="Arial" w:eastAsia="Arial" w:hAnsi="Arial"/>
          <w:sz w:val="22"/>
          <w:szCs w:val="22"/>
        </w:rPr>
        <w:t xml:space="preserve">需要证据：K（子迭代次数）、p_mask（掩码反馈概率）、λ_d（深度损失权重）、学习率 η、批量大小和总 epoch 数的具体值</w:t>
      </w:r>
    </w:p>
    <w:p>
      <w:pPr>
        <w:pStyle w:val="ListParagraph"/>
        <w:numPr>
          <w:ilvl w:val="0"/>
          <w:numId w:val="3"/>
        </w:numPr>
        <w:spacing w:after="200" w:line="360"/>
      </w:pPr>
      <w:r>
        <w:rPr>
          <w:rFonts w:ascii="Arial" w:cs="Arial" w:eastAsia="Arial" w:hAnsi="Arial"/>
          <w:sz w:val="22"/>
          <w:szCs w:val="22"/>
        </w:rPr>
        <w:t xml:space="preserve">需要证据：数据集详情——训练/验证划分、数据增强策略、每张图像的点提示数量（max_points）</w:t>
      </w:r>
    </w:p>
    <w:p>
      <w:pPr>
        <w:pStyle w:val="ListParagraph"/>
        <w:numPr>
          <w:ilvl w:val="0"/>
          <w:numId w:val="3"/>
        </w:numPr>
        <w:spacing w:after="200" w:line="360"/>
      </w:pPr>
      <w:r>
        <w:rPr>
          <w:rFonts w:ascii="Arial" w:cs="Arial" w:eastAsia="Arial" w:hAnsi="Arial"/>
          <w:sz w:val="22"/>
          <w:szCs w:val="22"/>
        </w:rPr>
        <w:t xml:space="preserve">需要证据：SAM 主干与 DINOv3 主干性能对比的消融实验结果，以支持 Mona 适配改善编码器质量的声明</w:t>
      </w:r>
    </w:p>
    <w:p>
      <w:pPr>
        <w:pStyle w:val="ListParagraph"/>
        <w:numPr>
          <w:ilvl w:val="0"/>
          <w:numId w:val="3"/>
        </w:numPr>
        <w:spacing w:after="200" w:line="360"/>
      </w:pPr>
      <w:r>
        <w:rPr>
          <w:rFonts w:ascii="Arial" w:cs="Arial" w:eastAsia="Arial" w:hAnsi="Arial"/>
          <w:sz w:val="22"/>
          <w:szCs w:val="22"/>
        </w:rPr>
        <w:t xml:space="preserve">需要证据：两种配置之间的参数量对比</w:t>
      </w:r>
    </w:p>
    <w:p>
      <w:pPr>
        <w:pBdr>
          <w:bottom w:val="single" w:color="2E75B6" w:sz="6" w:space="1"/>
        </w:pBdr>
        <w:spacing w:after="300"/>
      </w:pPr>
    </w:p>
    <w:p>
      <w:pPr>
        <w:pStyle w:val="Heading2"/>
      </w:pPr>
      <w:r>
        <w:t xml:space="preserve">声明-证据映射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声明</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证据</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状态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DINOv3 主干被冻结，仅 Mona + 投影可训练</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freeze_backbone() 冻结 self.backbone，Mona/Proj 不包含在内（dinov3_encoder.py:58-59,75-77）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第一阶段 DINOv3 变体训练 Mona 适配器和掩码分支</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freeze_image_encoder() 仅调用 freeze_backbone()（depth_sam.py:112-116）；第一阶段使用 filter(requires_grad)（trainer.py:358-359）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第二阶段冻结 DINOv3 变体的 Mona 适配器</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run_phase2 将所有参数设为 requires_grad=False，然后仅解冻深度分支（trainer.py:414-420）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Mona 捕获多尺度空间模式</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三个深度卷积，核大小分别为 3×3、5×5、7×7（mona.py:14-16）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深度分支在第二阶段开始时从微调后的 SAM 重新初始化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加载第一阶段检查点后调用 model.init_depth_from_sam()（trainer.py:436-437）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迭代精炼与主干无关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无论编码器类型如何，使用相同的 DepthIterativePromptGenerator 和 iterative_mask_step/iterative_depth_step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已支持</w:t>
            </w:r>
          </w:p>
        </w:tc>
      </w:tr>
    </w:tbl>
    <w:p>
      <w:pPr>
        <w:spacing w:after="100"/>
      </w:pPr>
    </w:p>
    <w:p>
      <w:pPr>
        <w:pBdr>
          <w:bottom w:val="single" w:color="2E75B6" w:sz="6" w:space="1"/>
        </w:pBdr>
        <w:spacing w:after="300"/>
      </w:pPr>
    </w:p>
    <w:p>
      <w:pPr>
        <w:pStyle w:val="Heading2"/>
      </w:pPr>
      <w:r>
        <w:t xml:space="preserve">结构说明</w:t>
      </w:r>
    </w:p>
    <w:p>
      <w:pPr>
        <w:pStyle w:val="ListParagraph"/>
        <w:numPr>
          <w:ilvl w:val="0"/>
          <w:numId w:val="3"/>
        </w:numPr>
        <w:spacing w:after="200" w:line="360"/>
      </w:pPr>
      <w:r>
        <w:rPr>
          <w:rFonts w:ascii="Arial" w:cs="Arial" w:eastAsia="Arial" w:hAnsi="Arial"/>
          <w:sz w:val="22"/>
          <w:szCs w:val="22"/>
        </w:rPr>
        <w:t xml:space="preserve">编码器配置置于训练阶段之前：读者需要在理解 Phase 1/Phase 2 冻结逻辑之前，先了解 F 是什么以及编码器层面哪些参数是可训练的。</w:t>
      </w:r>
    </w:p>
    <w:p>
      <w:pPr>
        <w:pStyle w:val="ListParagraph"/>
        <w:numPr>
          <w:ilvl w:val="0"/>
          <w:numId w:val="3"/>
        </w:numPr>
        <w:spacing w:after="200" w:line="360"/>
      </w:pPr>
      <w:r>
        <w:rPr>
          <w:rFonts w:ascii="Arial" w:cs="Arial" w:eastAsia="Arial" w:hAnsi="Arial"/>
          <w:sz w:val="22"/>
          <w:szCs w:val="22"/>
        </w:rPr>
        <w:t xml:space="preserve">Mona 与 DINOv3 编码器内联描述：适配器在架构上是编码器流水线的一部分，而非独立模块——放在此处可避免前向引用。</w:t>
      </w:r>
    </w:p>
    <w:p>
      <w:pPr>
        <w:pStyle w:val="ListParagraph"/>
        <w:numPr>
          <w:ilvl w:val="0"/>
          <w:numId w:val="3"/>
        </w:numPr>
        <w:spacing w:after="200" w:line="360"/>
      </w:pPr>
      <w:r>
        <w:rPr>
          <w:rFonts w:ascii="Arial" w:cs="Arial" w:eastAsia="Arial" w:hAnsi="Arial"/>
          <w:sz w:val="22"/>
          <w:szCs w:val="22"/>
        </w:rPr>
        <w:t xml:space="preserve">第一阶段显式强调可训练参数差异：这是两种主干配置之间的核心结构性区别；将其隐藏会误导读者认为训练是相同的。</w:t>
      </w:r>
    </w:p>
    <w:p>
      <w:pPr>
        <w:pStyle w:val="ListParagraph"/>
        <w:numPr>
          <w:ilvl w:val="0"/>
          <w:numId w:val="3"/>
        </w:numPr>
        <w:spacing w:after="200" w:line="360"/>
      </w:pPr>
      <w:r>
        <w:rPr>
          <w:rFonts w:ascii="Arial" w:cs="Arial" w:eastAsia="Arial" w:hAnsi="Arial"/>
          <w:sz w:val="22"/>
          <w:szCs w:val="22"/>
        </w:rPr>
        <w:t xml:space="preserve">迭代精炼在共享子节中描述：由于该机制与主干无关，单一描述可避免冗余。第一阶段与第二阶段的差异在子节内进行对比。</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888888"/>
        <w:sz w:val="18"/>
        <w:szCs w:val="18"/>
      </w:rPr>
      <w:t xml:space="preserve">DINOSAM — 训练策略（SAM 与 DINOv3 主干）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2026-06-17T11:32:46.937Z</dcterms:created>
  <dcterms:modified xsi:type="dcterms:W3CDTF">2026-06-17T11:32:46.937Z</dcterms:modified>
</cp:coreProperties>
</file>

<file path=docProps/custom.xml><?xml version="1.0" encoding="utf-8"?>
<Properties xmlns="http://schemas.openxmlformats.org/officeDocument/2006/custom-properties" xmlns:vt="http://schemas.openxmlformats.org/officeDocument/2006/docPropsVTypes"/>
</file>