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color w:val="585D6B"/>
          <w:sz w:val="16"/>
          <w:rFonts w:ascii="Consolas" w:hAnsi="Consolas"/>
          <w:spacing w:val="20"/>
        </w:rPr>
        <w:t xml:space="preserve">READINESS ASSESSMENT · CELOPEDIA + MINIPAY</w:t>
      </w:r>
    </w:p>
    <w:p>
      <w:pPr>
        <w:pStyle w:val="Title"/>
      </w:pPr>
      <w:r>
        <w:t xml:space="preserve">Gambit Readiness Report</w:t>
      </w:r>
    </w:p>
    <w:p>
      <w:pPr>
        <w:spacing w:after="240"/>
      </w:pPr>
      <w:r>
        <w:rPr>
          <w:color w:val="585D6B"/>
          <w:sz w:val="23"/>
        </w:rPr>
        <w:t xml:space="preserve">Where Gambit stands against the MiniPay listing bar and the live Celo grant programs, assessed against the Celopedia reference checklists and verified on-chain.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8A8F9C"/>
                <w:sz w:val="16"/>
                <w:spacing w:val="12"/>
              </w:rPr>
              <w:t xml:space="preserve">ASSESSED</w:t>
            </w:r>
          </w:p>
          <w:p>
            <w:pPr>
              <w:spacing w:after="0"/>
            </w:pPr>
            <w:r>
              <w:rPr>
                <w:b/>
                <w:sz w:val="19"/>
              </w:rPr>
              <w:t xml:space="preserve">14 August 2026</w:t>
            </w:r>
          </w:p>
        </w:tc>
        <w:tc>
          <w:tcPr>
            <w:tcW w:w="234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8A8F9C"/>
                <w:sz w:val="16"/>
                <w:spacing w:val="12"/>
              </w:rPr>
              <w:t xml:space="preserve">LIVE AT</w:t>
            </w:r>
          </w:p>
          <w:p>
            <w:pPr>
              <w:spacing w:after="0"/>
            </w:pPr>
            <w:r>
              <w:rPr>
                <w:b/>
                <w:sz w:val="19"/>
              </w:rPr>
              <w:t xml:space="preserve">bestgambit.live</w:t>
            </w:r>
          </w:p>
        </w:tc>
        <w:tc>
          <w:tcPr>
            <w:tcW w:w="234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8A8F9C"/>
                <w:sz w:val="16"/>
                <w:spacing w:val="12"/>
              </w:rPr>
              <w:t xml:space="preserve">ESCROW</w:t>
            </w:r>
          </w:p>
          <w:p>
            <w:pPr>
              <w:spacing w:after="0"/>
            </w:pPr>
            <w:r>
              <w:rPr>
                <w:b/>
                <w:sz w:val="19"/>
                <w:rFonts w:ascii="Consolas" w:hAnsi="Consolas"/>
              </w:rPr>
              <w:t xml:space="preserve">0xB34548…FACd05</w:t>
            </w:r>
          </w:p>
        </w:tc>
        <w:tc>
          <w:tcPr>
            <w:tcW w:w="234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color w:val="8A8F9C"/>
                <w:sz w:val="16"/>
                <w:spacing w:val="12"/>
              </w:rPr>
              <w:t xml:space="preserve">NETWORK</w:t>
            </w:r>
          </w:p>
          <w:p>
            <w:pPr>
              <w:spacing w:after="0"/>
            </w:pPr>
            <w:r>
              <w:rPr>
                <w:b/>
                <w:sz w:val="19"/>
              </w:rPr>
              <w:t xml:space="preserve">Celo mainnet</w:t>
            </w:r>
          </w:p>
        </w:tc>
      </w:tr>
    </w:tbl>
    <w:p>
      <w:pPr>
        <w:pStyle w:val="Heading1"/>
      </w:pPr>
      <w:r>
        <w:t xml:space="preserve">Summary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2600"/>
        <w:gridCol w:w="2200"/>
        <w:gridCol w:w="4560"/>
      </w:tblGrid>
      <w:tr>
        <w:tc>
          <w:tcPr>
            <w:tcW w:w="260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Area</w:t>
            </w:r>
          </w:p>
        </w:tc>
        <w:tc>
          <w:tcPr>
            <w:tcW w:w="220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Standing</w:t>
            </w:r>
          </w:p>
        </w:tc>
        <w:tc>
          <w:tcPr>
            <w:tcW w:w="456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MiniPay listing</w:t>
            </w:r>
          </w:p>
        </w:tc>
        <w:tc>
          <w:tcPr>
            <w:tcW w:w="2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 xml:space="preserve">15 of 18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Submitted and in review. Three items outstanding, none of them blocking.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Grant readiness</w:t>
            </w:r>
          </w:p>
        </w:tc>
        <w:tc>
          <w:tcPr>
            <w:tcW w:w="2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 xml:space="preserve">Strong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Two programs are a clear fit today. The largest needs traction data we do not yet publish.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Proof of Ship</w:t>
            </w:r>
          </w:p>
        </w:tc>
        <w:tc>
          <w:tcPr>
            <w:tcW w:w="2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 xml:space="preserve">9th, July</w:t>
            </w:r>
          </w:p>
        </w:tc>
        <w:tc>
          <w:tcPr>
            <w:tcW w:w="45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7th in June. July was the final season cycle, so this route is now closed.</w:t>
            </w:r>
          </w:p>
        </w:tc>
      </w:tr>
    </w:tbl>
    <w:p>
      <w:pPr>
        <w:pStyle w:val="Heading1"/>
      </w:pPr>
      <w:r>
        <w:t xml:space="preserve">MiniPay listing readiness</w:t>
      </w:r>
    </w:p>
    <w:p>
      <w:pPr>
        <w:spacing w:after="200"/>
      </w:pPr>
      <w:r>
        <w:rPr>
          <w:color w:val="585D6B"/>
          <w:sz w:val="20"/>
        </w:rPr>
        <w:t xml:space="preserve">Assessed against the Stage 2 checklist in Celopedia's minipay-requirements.md. Every item below was checked against the actual codebase or read from the chain, not assumed.</w:t>
      </w:r>
    </w:p>
    <w:p>
      <w:pPr>
        <w:pStyle w:val="Heading3"/>
      </w:pPr>
      <w:r>
        <w:t xml:space="preserve">Seamless user experience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1200"/>
        <w:gridCol w:w="8160"/>
      </w:tblGrid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Zero-click connect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No Connect Wallet button appears when isMiniPay is true. Confirmed on device — the app opens signed in.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96600A"/>
                <w:sz w:val="16"/>
                <w:caps/>
                <w:spacing w:val="10"/>
              </w:rPr>
              <w:t xml:space="preserve">RISK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No message signing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The checklist says never prompt personal_sign. Gambit does prompt one signature before a staked match, via Privy. It works in MiniPay and always has, but it is a literal deviation from the written rule and a reviewer may raise it.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No raw addresses as identity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Players are shown a chosen name. Invite links now carry a seven-character code rather than a wallet, fixed this week.</w:t>
            </w:r>
          </w:p>
        </w:tc>
      </w:tr>
    </w:tbl>
    <w:p>
      <w:pPr>
        <w:spacing w:before="240" w:after="40"/>
        <w:pBdr>
          <w:left w:val="single" w:sz="18" w:color="2C4BC4" w:space="8"/>
        </w:pBdr>
        <w:ind w:left="200"/>
      </w:pPr>
      <w:r>
        <w:rPr>
          <w:b/>
          <w:sz w:val="21"/>
        </w:rPr>
        <w:t xml:space="preserve">On the signing prompt</w:t>
      </w:r>
    </w:p>
    <w:p>
      <w:pPr>
        <w:spacing w:after="60"/>
        <w:pBdr>
          <w:left w:val="single" w:sz="18" w:color="2C4BC4" w:space="8"/>
        </w:pBdr>
        <w:ind w:left="200"/>
      </w:pPr>
      <w:r>
        <w:rPr>
          <w:color w:val="585D6B"/>
          <w:sz w:val="20"/>
        </w:rPr>
        <w:t xml:space="preserve">Celopedia's rule targets the raw injected wallet, which cannot sign. Gambit connects through Privy, which bridges to MiniPay and handles signing — proven by the app working on device and by two Proof of Ship placements. The prompt exists so only you can play your own moves.</w:t>
      </w:r>
    </w:p>
    <w:p>
      <w:pPr>
        <w:spacing w:after="200"/>
        <w:pBdr>
          <w:left w:val="single" w:sz="18" w:color="2C4BC4" w:space="8"/>
        </w:pBdr>
        <w:ind w:left="200"/>
      </w:pPr>
      <w:r>
        <w:rPr>
          <w:color w:val="585D6B"/>
          <w:sz w:val="20"/>
        </w:rPr>
        <w:t xml:space="preserve">Reworking auth to remove it is a large change with real regression risk. The better move is to explain it if asked, not to pre-emptively rebuild.</w:t>
      </w:r>
    </w:p>
    <w:p>
      <w:pPr>
        <w:pStyle w:val="Heading3"/>
      </w:pPr>
      <w:r>
        <w:t xml:space="preserve">Currency and stablecoin logic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1200"/>
        <w:gridCol w:w="8160"/>
      </w:tblGrid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USDT, USDC, USDm only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All three allowlisted on the escrow. USDT enabled 10 August and verified returning true on-chain.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Adapts to preferred stablecoin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Balances for all three are read live and the highest holding becomes the default. Ties fall to USDT.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96600A"/>
                <w:sz w:val="16"/>
                <w:caps/>
                <w:spacing w:val="10"/>
              </w:rPr>
              <w:t xml:space="preserve">RISK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CELO never displayed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The wallet sheet hides CELO, but players still need a little for the network fee and the how-to-play page says so. This is a deliberate owner decision: hiding it entirely would cause silent failed transactions. Honest, but a deviation.</w:t>
            </w:r>
          </w:p>
        </w:tc>
      </w:tr>
    </w:tbl>
    <w:p>
      <w:pPr>
        <w:pStyle w:val="Heading3"/>
      </w:pPr>
      <w:r>
        <w:t xml:space="preserve">Copy, performance, contracts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1200"/>
        <w:gridCol w:w="8160"/>
      </w:tblGrid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Plain language throughout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Network fee, Add cash, Withdraw, stablecoin. Three remaining "no gas" strings were fixed this week.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Works at 360 x 640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Responsive throughout, with iOS safe-area insets fixed by adding viewportFit: cover.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B0352C"/>
                <w:sz w:val="16"/>
                <w:caps/>
                <w:spacing w:val="10"/>
              </w:rPr>
              <w:t xml:space="preserve">GAP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Asset optimisation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Images are fine — two SVGs and one PNG. But public/music holds 38 MB of MP3s. That is the single largest drag on load and the most likely cause of a poor PageSpeed score.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B0352C"/>
                <w:sz w:val="16"/>
                <w:caps/>
                <w:spacing w:val="10"/>
              </w:rPr>
              <w:t xml:space="preserve">GAP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PageSpeed Insights score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Never captured. The form asks for it and a low score blocks listing. Run it before the follow-up call, and compress the audio first.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Contracts verified on Celoscan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Escrow source is public and verified. Sample transactions supplied for every user-facing method.</w:t>
            </w:r>
          </w:p>
        </w:tc>
      </w:tr>
    </w:tbl>
    <w:p>
      <w:pPr>
        <w:pStyle w:val="Heading3"/>
      </w:pPr>
      <w:r>
        <w:t xml:space="preserve">Integration, support, legal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1200"/>
        <w:gridCol w:w="8160"/>
      </w:tblGrid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Add Cash deeplink on low balance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Points at link.minipay.xyz/add_cash with all three tokens listed.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In-app support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WhatsApp, reachable from the You screen and the how-to-play page.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Terms, Privacy, About, How to play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All four live and reachable in-app, each with a back link so nobody gets stranded.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7A4D"/>
                <w:sz w:val="16"/>
                <w:caps/>
                <w:spacing w:val="10"/>
              </w:rPr>
              <w:t xml:space="preserve">PASS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Clear ownership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The About page states plainly that Spagero operates Gambit, not Opera or MiniPay.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96600A"/>
                <w:sz w:val="16"/>
                <w:caps/>
                <w:spacing w:val="10"/>
              </w:rPr>
              <w:t xml:space="preserve">RISK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Stats and analytics page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A /stats page exists and reads on-chain data. It does not yet publish DAU, MAU, retention or failed-transaction rate — the numbers MiniPay uses for featuring decisions, and the same numbers the Builder Fund wants.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6"/>
                <w:caps/>
                <w:spacing w:val="10"/>
              </w:rPr>
              <w:t xml:space="preserve">NA</w:t>
            </w:r>
          </w:p>
        </w:tc>
        <w:tc>
          <w:tcPr>
            <w:tcW w:w="81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b/>
              </w:rPr>
              <w:t xml:space="preserve">AI support agent on Telegram</w:t>
            </w:r>
          </w:p>
          <w:p>
            <w:pPr>
              <w:spacing w:after="0"/>
            </w:pPr>
            <w:r>
              <w:rPr>
                <w:color w:val="585D6B"/>
                <w:sz w:val="19"/>
              </w:rPr>
              <w:t xml:space="preserve">Recommended, not required. Worth considering only once volume makes the 24-hour SLA hard by hand.</w:t>
            </w:r>
          </w:p>
        </w:tc>
      </w:tr>
    </w:tbl>
    <w:p>
      <w:pPr>
        <w:pStyle w:val="Heading1"/>
      </w:pPr>
      <w:r>
        <w:t xml:space="preserve">Grant readiness</w:t>
      </w:r>
    </w:p>
    <w:p>
      <w:pPr>
        <w:spacing w:after="200"/>
      </w:pPr>
      <w:r>
        <w:rPr>
          <w:color w:val="585D6B"/>
          <w:sz w:val="20"/>
        </w:rPr>
        <w:t xml:space="preserve">Programs from Celopedia's grants-funding.md. That file carries a live-data warning: statuses change mid-quarter, so confirm against celopg.eco/programs before applying. Several listed end dates have already passed.</w:t>
      </w:r>
    </w:p>
    <w:tbl>
      <w:tblPr>
        <w:tblW w:w="9360" w:type="dxa"/>
        <w:tblBorders>
          <w:top w:val="single" w:sz="4" w:color="D8D5CF"/>
          <w:bottom w:val="single" w:sz="4" w:color="D8D5CF"/>
          <w:insideH w:val="single" w:sz="4" w:color="D8D5CF"/>
        </w:tblBorders>
        <w:tblLayout w:type="fixed"/>
      </w:tblPr>
      <w:tblGrid>
        <w:gridCol w:w="2100"/>
        <w:gridCol w:w="1300"/>
        <w:gridCol w:w="1300"/>
        <w:gridCol w:w="4660"/>
      </w:tblGrid>
      <w:tr>
        <w:tc>
          <w:tcPr>
            <w:tcW w:w="210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Program</w:t>
            </w:r>
          </w:p>
        </w:tc>
        <w:tc>
          <w:tcPr>
            <w:tcW w:w="130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Amount</w:t>
            </w:r>
          </w:p>
        </w:tc>
        <w:tc>
          <w:tcPr>
            <w:tcW w:w="130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Fit</w:t>
            </w:r>
          </w:p>
        </w:tc>
        <w:tc>
          <w:tcPr>
            <w:tcW w:w="4660" w:type="dxa"/>
            <w:shd w:val="clear" w:fill="F4F2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 xml:space="preserve">Assessment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Prezenti Anchor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  <w:rFonts w:ascii="Consolas" w:hAnsi="Consolas"/>
              </w:rPr>
              <w:t xml:space="preserve">$25K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7A4D"/>
                <w:sz w:val="16"/>
              </w:rPr>
              <w:t xml:space="preserve">STRONG</w:t>
            </w:r>
          </w:p>
        </w:tc>
        <w:tc>
          <w:tcPr>
            <w:tcW w:w="46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Explicitly for Celo projects focused on MiniPay. Milestone-based, which suits a shipped product with a clear roadmap. The best fit available. Cached end date was 30 June — confirm it is still open.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Celo Builder Fund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  <w:rFonts w:ascii="Consolas" w:hAnsi="Consolas"/>
              </w:rPr>
              <w:t xml:space="preserve">$25K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96600A"/>
                <w:sz w:val="16"/>
              </w:rPr>
              <w:t xml:space="preserve">BLOCKED</w:t>
            </w:r>
          </w:p>
        </w:tc>
        <w:tc>
          <w:tcPr>
            <w:tcW w:w="46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Runs to 31 December, so timing is fine. Needs two of four traction thresholds: 1,000+ MAU, 500+ daily transactions, $50K TVL, $5K monthly revenue. With 27 lifetime matches on-chain, none are met yet. This is a target, not an application.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Proof of Ship S2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  <w:rFonts w:ascii="Consolas" w:hAnsi="Consolas"/>
              </w:rPr>
              <w:t xml:space="preserve">$5K/mo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6B7280"/>
                <w:sz w:val="16"/>
              </w:rPr>
              <w:t xml:space="preserve">CLOSED</w:t>
            </w:r>
          </w:p>
        </w:tc>
        <w:tc>
          <w:tcPr>
            <w:tcW w:w="46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Already placed 9th in July and 7th in June. July was the final cycle.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GoodBuilders S3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  <w:rFonts w:ascii="Consolas" w:hAnsi="Consolas"/>
              </w:rPr>
              <w:t xml:space="preserve">$50K G$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6B7280"/>
                <w:sz w:val="16"/>
              </w:rPr>
              <w:t xml:space="preserve">NO</w:t>
            </w:r>
          </w:p>
        </w:tc>
        <w:tc>
          <w:tcPr>
            <w:tcW w:w="46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Requires GoodDollar integration, which MiniPay asked Gambit to remove. Correctly out of scope now.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Prezenti Frontier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  <w:rFonts w:ascii="Consolas" w:hAnsi="Consolas"/>
              </w:rPr>
              <w:t xml:space="preserve">Varies</w:t>
            </w:r>
          </w:p>
        </w:tc>
        <w:tc>
          <w:tcPr>
            <w:tcW w:w="130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6B7280"/>
                <w:sz w:val="16"/>
              </w:rPr>
              <w:t xml:space="preserve">NO</w:t>
            </w:r>
          </w:p>
        </w:tc>
        <w:tc>
          <w:tcPr>
            <w:tcW w:w="4660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585D6B"/>
                <w:sz w:val="20"/>
              </w:rPr>
              <w:t xml:space="preserve">Scoped to AI and agent-economy infrastructure. Gambit is a game.</w:t>
            </w:r>
          </w:p>
        </w:tc>
      </w:tr>
    </w:tbl>
    <w:p>
      <w:pPr>
        <w:spacing w:before="240" w:after="40"/>
        <w:pBdr>
          <w:left w:val="single" w:sz="18" w:color="2C4BC4" w:space="8"/>
        </w:pBdr>
        <w:ind w:left="200"/>
      </w:pPr>
      <w:r>
        <w:rPr>
          <w:b/>
          <w:sz w:val="21"/>
        </w:rPr>
        <w:t xml:space="preserve">What actually gates the money</w:t>
      </w:r>
    </w:p>
    <w:p>
      <w:pPr>
        <w:spacing w:after="60"/>
        <w:pBdr>
          <w:left w:val="single" w:sz="18" w:color="2C4BC4" w:space="8"/>
        </w:pBdr>
        <w:ind w:left="200"/>
      </w:pPr>
      <w:r>
        <w:rPr>
          <w:color w:val="585D6B"/>
          <w:sz w:val="20"/>
        </w:rPr>
        <w:t xml:space="preserve">Gambit clears every qualitative bar a grant reviewer checks: live on mainnet, verified contract, open-source repo, 489 commits, two Proof of Ship placements, real users, and a non-custodial escrow with no withdraw function.</w:t>
      </w:r>
    </w:p>
    <w:p>
      <w:pPr>
        <w:spacing w:after="200"/>
        <w:pBdr>
          <w:left w:val="single" w:sz="18" w:color="2C4BC4" w:space="8"/>
        </w:pBdr>
        <w:ind w:left="200"/>
      </w:pPr>
      <w:r>
        <w:rPr>
          <w:color w:val="585D6B"/>
          <w:sz w:val="20"/>
        </w:rPr>
        <w:t xml:space="preserve">What is missing is measurement. Both the Builder Fund and MiniPay's featuring decisions run on DAU, MAU, retention and transaction volume — and Gambit does not publish any of them. Instrumenting that is the single highest-leverage piece of work available, because it unlocks two separate doors.</w:t>
      </w:r>
    </w:p>
    <w:p>
      <w:pPr>
        <w:pStyle w:val="Heading1"/>
      </w:pPr>
      <w:r>
        <w:t xml:space="preserve">What to do next</w:t>
      </w:r>
    </w:p>
    <w:p>
      <w:pPr>
        <w:spacing w:after="160"/>
      </w:pPr>
      <w:r>
        <w:rPr>
          <w:color w:val="585D6B"/>
          <w:sz w:val="20"/>
        </w:rPr>
        <w:t xml:space="preserve">Ordered by leverage, not effort.</w:t>
      </w:r>
    </w:p>
    <w:p>
      <w:pPr>
        <w:spacing w:before="140" w:after="30"/>
      </w:pPr>
      <w:r>
        <w:rPr>
          <w:b/>
          <w:sz w:val="21"/>
        </w:rPr>
        <w:t xml:space="preserve">1.  Publish real usage metrics on /stats</w:t>
      </w:r>
    </w:p>
    <w:p>
      <w:pPr>
        <w:spacing w:after="60"/>
        <w:ind w:left="280"/>
      </w:pPr>
      <w:r>
        <w:rPr>
          <w:color w:val="585D6B"/>
          <w:sz w:val="20"/>
        </w:rPr>
        <w:t xml:space="preserve">DAU, MAU, D1/D7/D30 retention, transactions per period, volume per stablecoin, failed-transaction rate. Required for the Builder Fund, used by MiniPay for featuring, and the honest answer to "how is it going?".</w:t>
      </w:r>
    </w:p>
    <w:p>
      <w:pPr>
        <w:spacing w:before="140" w:after="30"/>
      </w:pPr>
      <w:r>
        <w:rPr>
          <w:b/>
          <w:sz w:val="21"/>
        </w:rPr>
        <w:t xml:space="preserve">2.  Compress the 38 MB of music, then run PageSpeed</w:t>
      </w:r>
    </w:p>
    <w:p>
      <w:pPr>
        <w:spacing w:after="60"/>
        <w:ind w:left="280"/>
      </w:pPr>
      <w:r>
        <w:rPr>
          <w:color w:val="585D6B"/>
          <w:sz w:val="20"/>
        </w:rPr>
        <w:t xml:space="preserve">The audio is almost certainly what a mobile score will punish. Compress first so the number you submit is one worth submitting.</w:t>
      </w:r>
    </w:p>
    <w:p>
      <w:pPr>
        <w:spacing w:before="140" w:after="30"/>
      </w:pPr>
      <w:r>
        <w:rPr>
          <w:b/>
          <w:sz w:val="21"/>
        </w:rPr>
        <w:t xml:space="preserve">3.  Apply to Prezenti Anchor</w:t>
      </w:r>
    </w:p>
    <w:p>
      <w:pPr>
        <w:spacing w:after="60"/>
        <w:ind w:left="280"/>
      </w:pPr>
      <w:r>
        <w:rPr>
          <w:color w:val="585D6B"/>
          <w:sz w:val="20"/>
        </w:rPr>
        <w:t xml:space="preserve">Confirm the round is still open, then apply. It is the one program Gambit fits today without needing traction it does not yet have.</w:t>
      </w:r>
    </w:p>
    <w:p>
      <w:pPr>
        <w:spacing w:before="140" w:after="30"/>
      </w:pPr>
      <w:r>
        <w:rPr>
          <w:b/>
          <w:sz w:val="21"/>
        </w:rPr>
        <w:t xml:space="preserve">4.  Play one USDT match end to end</w:t>
      </w:r>
    </w:p>
    <w:p>
      <w:pPr>
        <w:spacing w:after="60"/>
        <w:ind w:left="280"/>
      </w:pPr>
      <w:r>
        <w:rPr>
          <w:color w:val="585D6B"/>
          <w:sz w:val="20"/>
        </w:rPr>
        <w:t xml:space="preserve">Every sample transaction supplied so far is USDm and months old. A fresh USDT lifecycle would match the token MiniPay asked to prioritise, and would prove the payout path now that the relayer is funded.</w:t>
      </w:r>
    </w:p>
    <w:p>
      <w:pPr>
        <w:spacing w:before="140" w:after="30"/>
      </w:pPr>
      <w:r>
        <w:rPr>
          <w:b/>
          <w:sz w:val="21"/>
        </w:rPr>
        <w:t xml:space="preserve">5.  Fund the referral vault properly</w:t>
      </w:r>
    </w:p>
    <w:p>
      <w:pPr>
        <w:spacing w:after="60"/>
        <w:ind w:left="280"/>
      </w:pPr>
      <w:r>
        <w:rPr>
          <w:color w:val="585D6B"/>
          <w:sz w:val="20"/>
        </w:rPr>
        <w:t xml:space="preserve">It holds 0.6 USDT against a card advertising up to 5. The fourth person to activate gets nothing, and the failure is silent.</w:t>
      </w:r>
    </w:p>
    <w:p>
      <w:pPr>
        <w:spacing w:before="320"/>
      </w:pPr>
      <w:r>
        <w:rPr>
          <w:color w:val="8A8F9C"/>
          <w:sz w:val="18"/>
        </w:rPr>
        <w:t xml:space="preserve">Assessed against Celopedia minipay-requirements.md and grants-funding.md, both dated 18 May 2026. Grant statuses and dates change mid-quarter — verify at celopg.eco/programs before applying. On-chain figures read from Celo mainnet on 14 August 2026.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16171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80"/>
      <w:pBdr>
        <w:bottom w:val="single" w:sz="12" w:color="16171D" w:space="6"/>
      </w:pBdr>
    </w:pPr>
    <w:rPr>
      <w:rFonts w:ascii="Georgia" w:hAnsi="Georgia"/>
      <w:b/>
      <w:sz w:val="56"/>
    </w:rPr>
  </w:style>
  <w:style w:type="paragraph" w:styleId="Heading1">
    <w:name w:val="heading 1"/>
    <w:basedOn w:val="Normal"/>
    <w:pPr>
      <w:spacing w:before="440" w:after="100"/>
      <w:pBdr>
        <w:bottom w:val="single" w:sz="6" w:color="CFCBC3" w:space="4"/>
      </w:pBdr>
      <w:outlineLvl w:val="0"/>
    </w:pPr>
    <w:rPr>
      <w:rFonts w:ascii="Georgia" w:hAnsi="Georgia"/>
      <w:b/>
      <w:sz w:val="34"/>
    </w:rPr>
  </w:style>
  <w:style w:type="paragraph" w:styleId="Heading3">
    <w:name w:val="heading 3"/>
    <w:basedOn w:val="Normal"/>
    <w:pPr>
      <w:spacing w:before="320" w:after="80"/>
      <w:outlineLvl w:val="2"/>
    </w:pPr>
    <w:rPr>
      <w:rFonts w:ascii="Consolas" w:hAnsi="Consolas"/>
      <w:b/>
      <w:sz w:val="18"/>
      <w:color w:val="585D6B"/>
      <w:spacing w:val="20"/>
      <w:caps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