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PROJECT CASCADE</w:t>
      </w:r>
    </w:p>
    <w:p>
      <w:r>
        <w:t xml:space="preserve">INVESTMENT COMMITTEE MEMORANDUM</w:t>
      </w:r>
    </w:p>
    <w:p>
      <w:r>
        <w:t xml:space="preserve">1 BACKGROUND</w:t>
      </w:r>
    </w:p>
    <w:p>
      <w:r>
        <w:t xml:space="preserve">Cascade Industrial Holdings is a manufacturer of precision flow control equipment. The business is owned by its founding family and management has approached us regarding a sale.</w:t>
      </w:r>
    </w:p>
    <w:p>
      <w:r>
        <w:t xml:space="preserve">2 FINANCIAL PERFORMANCE</w:t>
      </w:r>
    </w:p>
    <w:p>
      <w:r>
        <w:t xml:space="preserve">The business generated $235.3mm of revenue in FY2025A, representing revenue growth of 11.8% on the prior year.</w:t>
      </w:r>
    </w:p>
    <w:p>
      <w:r>
        <w:t xml:space="preserve">The capital structure carries total debt of $96.4mm against cash and equivalents of $21.7mm, and there are 42.8mm diluted shares outstanding.</w:t>
      </w:r>
    </w:p>
    <w:p>
      <w:r>
        <w:t xml:space="preserve">3 VALUATION</w:t>
      </w:r>
    </w:p>
    <w:p>
      <w:r>
        <w:t xml:space="preserve">The discounted cash flow is run at a WACC of 10.2% and a terminal growth rate of 2.5%, consistent with the assumptions agreed at the last committee.</w:t>
      </w:r>
    </w:p>
    <w:p>
      <w:r>
        <w:t xml:space="preserve">The comparable companies analysis and the discounted cash flow are set out in full in the accompanying model.</w:t>
      </w:r>
    </w:p>
    <w:p>
      <w:r>
        <w:t xml:space="preserve">4 RECOMMENDATION</w:t>
      </w:r>
    </w:p>
    <w:p>
      <w:r>
        <w:t xml:space="preserve">We recommend proceeding to a confirmatory diligence phase on the terms set out above.</w:t>
      </w:r>
    </w:p>
  </w:body>
</w:document>
</file>