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4 — Clinical Feasibility Report</w:t>
      </w:r>
    </w:p>
    <w:p>
      <w:pPr/>
      <w:r/>
      <w:r>
        <w:rPr>
          <w:b/>
        </w:rPr>
        <w:t>TRUSTXAI · Spandan Kumar Gope · 22MIP10039</w:t>
      </w:r>
      <w:r/>
    </w:p>
    <w:p>
      <w:pPr/>
      <w:r/>
      <w:r>
        <w:rPr>
          <w:b/>
        </w:rPr>
        <w:t>27 October 2026 · Clinical 1.0</w:t>
      </w:r>
      <w:r/>
    </w:p>
    <w:p>
      <w:pPr/>
      <w:r/>
      <w:r>
        <w:rPr>
          <w:b/>
        </w:rPr>
        <w:t>Status:</w:t>
      </w:r>
      <w:r>
        <w:t xml:space="preserve"> Measured feasibility gates passed; application and thesis experiments not yet implemented.</w:t>
      </w:r>
    </w:p>
    <w:p>
      <w:pPr>
        <w:pStyle w:val="Heading1"/>
      </w:pPr>
      <w:r>
        <w:t>What was actually tested</w:t>
      </w:r>
    </w:p>
    <w:p>
      <w:pPr/>
      <w:r>
        <w:t>The confirmed application is a diagnostic Clinical Decision Support System research prototype with a ChatGPT/Codex-inspired interface. The benchmark task selects the most likely diagnosis from four supplied options. An exam-vignette benchmark is not real-patient clinical validation. The user confirmed no API access/budget; no GPT/Gemini outputs or comparison results exist.</w:t>
      </w:r>
    </w:p>
    <w:p>
      <w:pPr/>
      <w:r>
        <w:t>The primary diagnosis-only cohort was refined by question semantics before its predictions. Two exploratory selections are archived. The final 24-case feasibility pool excludes all 48 earlier source IDs. The old broader-cohort 16/24 score and the primary 16/24 score belong to different samples and must not be pooled or treated as replicated final-test performance.</w:t>
      </w:r>
    </w:p>
    <w:p>
      <w:pPr/>
      <w:r>
        <w:t>The final diagnosis-only cohort has 917 candidate training and 117 candidate test cases before grouping/eligibility. After archived exploratory sources and declared budgets are excluded, 877 training and 117 test cases remain. The final grouping found 0 exact repeats and 0 near-duplicate edges, with 0 cross-partition cases quarantined. The 24/40/60 manifest has no overlapping source components. Maximum selected task prompt: 552 tokens; cap: 1,536. Manifest SHA256: 730d9ecfa80b04f5bc466f74d9750a5be08c35c029dc32c63ee21d11f4e70bff. All these operations preceded primary feasibility predictions.</w:t>
      </w:r>
    </w:p>
    <w:p>
      <w:pPr>
        <w:pStyle w:val="Heading1"/>
      </w:pPr>
      <w:r>
        <w:t>Observed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tblHeader/>
        </w:trPr>
        <w:tc>
          <w:tcPr>
            <w:tcW w:type="dxa" w:w="3296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Required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Actual observation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Diagnostic-option accuracy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least 0.50 on 24 sources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16/24 = 0.667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Position macro-F1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least 0.40; all positions nonzero recall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0.6702; all positive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Valid answer letters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least 95%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Median target response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most 20 seconds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12.12 seconds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Joint JSON format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least 80% on 8 requested sources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8/8 = 1.000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Median pair generation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most 180 seconds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19.77 seconds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Peak inference RSS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most 24 GiB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18.91 GiB across separately loaded phases</w:t>
            </w:r>
          </w:p>
        </w:tc>
      </w:tr>
      <w:tr>
        <w:tc>
          <w:tcPr>
            <w:tcW w:type="dxa" w:w="3296"/>
          </w:tcPr>
          <w:p>
            <w:r>
              <w:rPr>
                <w:sz w:val="18"/>
              </w:rPr>
              <w:t>Projected fixed workload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At most 24 aggregate CPU-hours</w:t>
            </w:r>
          </w:p>
        </w:tc>
        <w:tc>
          <w:tcPr>
            <w:tcW w:type="dxa" w:w="3296"/>
          </w:tcPr>
          <w:p>
            <w:r>
              <w:rPr>
                <w:sz w:val="18"/>
              </w:rPr>
              <w:t>21.10 CPU-hours with headroom</w:t>
            </w:r>
          </w:p>
        </w:tc>
      </w:tr>
    </w:tbl>
    <w:p/>
    <w:p>
      <w:pPr/>
      <w:r>
        <w:t xml:space="preserve">The selected fixed target is </w:t>
      </w:r>
      <w:r>
        <w:rPr>
          <w:b/>
        </w:rPr>
        <w:t>Qwen/Qwen3-4B-Instruct-2507</w:t>
      </w:r>
      <w:r>
        <w:t xml:space="preserve">, revision cdbee75f17c01a7cc42f958dc650907174af0554, CPU FP32 with four threads. Its primary diagnosis-only feasibility pool has 24 fresh cases, six per correct option position, disjoint from all 48 archived exploratory selections. It returned </w:t>
      </w:r>
      <w:r>
        <w:rPr>
          <w:b/>
        </w:rPr>
        <w:t>16/24 correct (66.7%)</w:t>
      </w:r>
      <w:r>
        <w:t xml:space="preserve">, option-position macro-F1 </w:t>
      </w:r>
      <w:r>
        <w:rPr>
          <w:b/>
        </w:rPr>
        <w:t>0.6702</w:t>
      </w:r>
      <w:r>
        <w:t xml:space="preserve">, and 24/24 valid letters. Median response: </w:t>
      </w:r>
      <w:r>
        <w:rPr>
          <w:b/>
        </w:rPr>
        <w:t>12.12 seconds</w:t>
      </w:r>
      <w:r>
        <w:t xml:space="preserve">; peak RSS: </w:t>
      </w:r>
      <w:r>
        <w:rPr>
          <w:b/>
        </w:rPr>
        <w:t>18.91 GiB</w:t>
      </w:r>
      <w:r>
        <w:t>. Position recalls A/B/C/D are 0.833, 0.667, 0.500, 0.667. This is operational feasibility, not final-test accuracy or clinical validation.</w:t>
      </w:r>
    </w:p>
    <w:p>
      <w:pPr/>
      <w:r>
        <w:t xml:space="preserve">The communication model is </w:t>
      </w:r>
      <w:r>
        <w:rPr>
          <w:b/>
        </w:rPr>
        <w:t>Qwen/Qwen3-1.7B-GGUF Q8_0</w:t>
      </w:r>
      <w:r>
        <w:t>, official publisher revision 90862c4b9d2787eaed51d12237eafdfe7c5f6077, using llama-cpp-python 0.3.16 on CPU with two decode and four prefill threads. Exact published artifact SHA256 is recorded; its original conversion commit is not established. The reference tokenizer was checked for exact native token IDs, and each actual generation also checks them. Models and roles are separated; communication does not change the frozen target decision.</w:t>
      </w:r>
    </w:p>
    <w:p>
      <w:pPr/>
      <w:r>
        <w:t xml:space="preserve">On the fixed eight feasibility cases, 16 preselected omissions were evaluated; 3 changed the model answer and 8/8 selected-result rechecks agreed. Informative evidence was available for 8/8 cases. Joint JSON was valid for </w:t>
      </w:r>
      <w:r>
        <w:rPr>
          <w:b/>
        </w:rPr>
        <w:t>8/8</w:t>
      </w:r>
      <w:r>
        <w:t xml:space="preserve"> requested pairs; median generation was </w:t>
      </w:r>
      <w:r>
        <w:rPr>
          <w:b/>
        </w:rPr>
        <w:t>19.77 seconds</w:t>
      </w:r>
      <w:r>
        <w:t xml:space="preserve">, with native-phase peak RSS </w:t>
      </w:r>
      <w:r>
        <w:rPr>
          <w:b/>
        </w:rPr>
        <w:t>2.39 GiB</w:t>
      </w:r>
      <w:r>
        <w:t>. These measurements cover runtime and format. They do not establish that every generated sentence preserves its evidence. No repair, independent semantic audit, H1/H2/H3 comparison or final-test inference has run.</w:t>
      </w:r>
    </w:p>
    <w:p>
      <w:pPr>
        <w:pStyle w:val="Heading1"/>
      </w:pPr>
      <w:r>
        <w:t>Hardware and failed attempts</w:t>
      </w:r>
    </w:p>
    <w:p>
      <w:pPr/>
      <w:r>
        <w:t>The cloud restarted during this work. The current CPU has AVX2 without AVX512-BF16; preliminary BF16 clinical queries took 65–77 seconds and that incomplete profile was stopped. The selected target uses FP32. A native Q8 communication model was built from pinned public source for CPU compatibility; no TLS, source hash or model-integrity check was disabled. Target and communication run in separate phases, rather than claiming a measured simultaneous-memory figure. The user's MacBook Air M5 was not benchmarked.</w:t>
      </w:r>
    </w:p>
    <w:p>
      <w:pPr/>
      <w:r>
        <w:t>The original diagnosis-keyword filter admitted workup, mechanism and treatment questions. Manual question review corrected this with positive diagnostic-request grammar, and laboratory tables after a question were moved into case evidence. These are disclosed scope/input corrections, not exclusions based on final-test outcomes. Source text, exploratory outputs and manifests are preserved outside the active protocol. The final cohort/prompt hash was frozen before its primary predictions.</w:t>
      </w:r>
    </w:p>
    <w:p>
      <w:pPr>
        <w:pStyle w:val="Heading1"/>
      </w:pPr>
      <w:r>
        <w:t>Budget and next boundary</w:t>
      </w:r>
    </w:p>
    <w:p>
      <w:pPr/>
      <w:r>
        <w:t>The fixed workload estimates evidence for 40 development plus 60 test cases, at most 400 unique joint narrative generations after exact shared-initial reuse, 100 natural-output critic calls, 1,200 diagnostic pairs and up to 160 natural P/development check pairs. Exact NLI-input keys were counted on 96 unreviewed cost-layout variants derived from the eight feasibility records; they are not semantically labelled diagnostic results. No cross-source cache benefit is assumed. Original-query mean cost is used as a floor for omitted/rechecked queries.</w:t>
      </w:r>
    </w:p>
    <w:p>
      <w:pPr/>
      <w:r>
        <w:t xml:space="preserve">The measured-cost projection is </w:t>
      </w:r>
      <w:r>
        <w:rPr>
          <w:b/>
        </w:rPr>
        <w:t>21.10 aggregate process CPU-hours</w:t>
      </w:r>
      <w:r>
        <w:t xml:space="preserve">, including 25% headroom; estimated elapsed time is </w:t>
      </w:r>
      <w:r>
        <w:rPr>
          <w:b/>
        </w:rPr>
        <w:t>7.32 hours</w:t>
      </w:r>
      <w:r>
        <w:t xml:space="preserve">. The 24-CPU-hour expected-cost gate passed: </w:t>
      </w:r>
      <w:r>
        <w:rPr>
          <w:b/>
        </w:rPr>
        <w:t>True</w:t>
      </w:r>
      <w:r>
        <w:t xml:space="preserve">. This is a projection, not an executed matrix. An uncached full-output/full-context stress scenario is </w:t>
      </w:r>
      <w:r>
        <w:rPr>
          <w:b/>
        </w:rPr>
        <w:t>77.86 CPU-hours</w:t>
      </w:r>
      <w:r>
        <w:t>, so the budget is not a worst-case guarantee. A changed diagnostic layout requires a fresh projection. Checkpoint before the ceiling, preserve pending cases and document any allocation change; do not drop hard cases. Extra exploratory tuning and human annotation are outside this fixed-workload estimate and must be logged separately.</w:t>
      </w:r>
    </w:p>
    <w:p>
      <w:pPr/>
      <w:r>
        <w:t xml:space="preserve">All observed feasibility gates passed: </w:t>
      </w:r>
      <w:r>
        <w:rPr>
          <w:b/>
        </w:rPr>
        <w:t>True</w:t>
      </w:r>
      <w:r>
        <w:t>. Neither the JSON parser nor the native tokenizer probe establishes semantic explanation correctness. There are zero development/test target predictions, zero completed six-condition thesis comparisons and zero recruited independent annotators. Medical effectiveness, calibrated confidence, patient benefit and superiority over GPT/Gemini have not been established.</w:t>
      </w:r>
    </w:p>
    <w:p>
      <w:pPr/>
      <w:r>
        <w:t>The strongest planned comparison uses the same target, communicator and shared initial pair for grounded blind rewrite versus TRUSTXAI checking/repair. Independent evidence-based labels are still needed. Templates are a strong semantic-output comparator; their LLM-generation yield is not applicable, and a template fallback is not counted as successful generated narrative.</w:t>
      </w:r>
    </w:p>
    <w:p>
      <w:pPr/>
      <w:r>
        <w:t>Step 5 implements the actual application, full all-span evidence pipeline, checkers, repair and baseline adapters. The design brief specifies a sidebar, conversation, rounded composer, light/dark themes and an evidence drawer. Application code, a final research paper and Review 2 slides are not represented as completed by this report.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Clinical 1.0 · Feasibility only; no final-test results ·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TRUSTXAI / RESEARCH PLANNING / STEP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