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analysis reveals that the average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Functional Impairment</w:t>
      </w:r>
      <w:r w:rsidDel="00000000" w:rsidR="00000000" w:rsidRPr="00000000">
        <w:rPr>
          <w:rtl w:val="0"/>
        </w:rPr>
        <w:t xml:space="preserve"> score is 7.4 for participants categorized under 'Little or No STS' and 9.8 for those categorized under 'Mild STS'. The side-by-side boxplot further highlights the distribution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Functional Impairment</w:t>
      </w:r>
      <w:r w:rsidDel="00000000" w:rsidR="00000000" w:rsidRPr="00000000">
        <w:rPr>
          <w:rtl w:val="0"/>
        </w:rPr>
        <w:t xml:space="preserve"> scores across these categories, showing that the 'Mild STS' category generally has higher functional impairment scores compared to the 'Little or No STS' category. This suggests a potential correlation between higher levels of secondary traumatic stress and greater functional impairment.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