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Hospital ER Dashboard</w:t>
      </w:r>
    </w:p>
    <w:p>
      <w:pPr>
        <w:spacing w:after="40"/>
        <w:jc w:val="center"/>
      </w:pPr>
      <w:r>
        <w:rPr>
          <w:color w:val="118DFF"/>
          <w:sz w:val="26"/>
          <w:szCs w:val="26"/>
        </w:rPr>
        <w:t xml:space="preserve">Power BI Project Documentation</w:t>
      </w:r>
    </w:p>
    <w:p>
      <w:pPr>
        <w:spacing w:after="400"/>
        <w:jc w:val="center"/>
      </w:pPr>
      <w:r>
        <w:rPr>
          <w:i/>
          <w:iCs/>
          <w:color w:val="605E5C"/>
          <w:sz w:val="20"/>
          <w:szCs w:val="20"/>
        </w:rPr>
        <w:t xml:space="preserve">Prepared by: Subham  |  Data Engineering Intern, Ahana Solutions Pvt. Ltd.</w:t>
      </w:r>
    </w:p>
    <w:p>
      <w:pPr>
        <w:pStyle w:val="Heading1"/>
        <w:pBdr>
          <w:bottom w:val="single" w:color="118DFF" w:sz="6" w:space="4"/>
        </w:pBdr>
        <w:spacing w:after="160" w:before="360"/>
      </w:pPr>
      <w:r>
        <w:rPr>
          <w:b/>
          <w:bCs/>
          <w:color w:val="1F3864"/>
          <w:sz w:val="30"/>
          <w:szCs w:val="30"/>
        </w:rPr>
        <w:t xml:space="preserve">1. Project Overview</w:t>
      </w:r>
    </w:p>
    <w:p>
      <w:pPr>
        <w:spacing w:after="160" w:line="300"/>
      </w:pPr>
      <w:r>
        <w:rPr>
          <w:sz w:val="22"/>
          <w:szCs w:val="22"/>
        </w:rPr>
        <w:t xml:space="preserve">This document covers the Hospital ER (Emergency Room) Dashboard that I built in Power BI. The goal of this project was to practice end-to-end dashboard building — starting from a raw dataset, shaping the data model, designing visuals, and finally putting together a report that tells a clear story to someone looking at it for the first time.</w:t>
      </w:r>
    </w:p>
    <w:p>
      <w:pPr>
        <w:spacing w:after="160" w:line="300"/>
      </w:pPr>
      <w:r>
        <w:rPr>
          <w:sz w:val="22"/>
          <w:szCs w:val="22"/>
        </w:rPr>
        <w:t xml:space="preserve">The dashboard is built around a fictional/sample hospital emergency room dataset, and it tracks things like patient volume, wait times, satisfaction scores, referrals, and admission patterns. The idea was to simulate a real hospital operations dashboard that a hospital administrator could use to monitor ER performance on a day-to-day and month-to-month basis.</w:t>
      </w:r>
    </w:p>
    <w:p>
      <w:pPr>
        <w:pStyle w:val="Heading2"/>
        <w:spacing w:after="120" w:before="280"/>
      </w:pPr>
      <w:r>
        <w:rPr>
          <w:b/>
          <w:bCs/>
          <w:color w:val="1F3864"/>
          <w:sz w:val="24"/>
          <w:szCs w:val="24"/>
        </w:rPr>
        <w:t xml:space="preserve">1.1 Objective</w:t>
      </w:r>
    </w:p>
    <w:p>
      <w:pPr>
        <w:pStyle w:val="ListParagraph"/>
        <w:numPr>
          <w:ilvl w:val="0"/>
          <w:numId w:val="1"/>
        </w:numPr>
        <w:spacing w:after="90" w:line="290"/>
      </w:pPr>
      <w:r>
        <w:rPr>
          <w:sz w:val="22"/>
          <w:szCs w:val="22"/>
        </w:rPr>
        <w:t xml:space="preserve">Track key ER metrics: number of patients, average wait time, patient satisfaction score, and number of patients referred.</w:t>
      </w:r>
    </w:p>
    <w:p>
      <w:pPr>
        <w:pStyle w:val="ListParagraph"/>
        <w:numPr>
          <w:ilvl w:val="0"/>
          <w:numId w:val="1"/>
        </w:numPr>
        <w:spacing w:after="90" w:line="290"/>
      </w:pPr>
      <w:r>
        <w:rPr>
          <w:sz w:val="22"/>
          <w:szCs w:val="22"/>
        </w:rPr>
        <w:t xml:space="preserve">Break down patient data by demographics (age group, gender, race), admission status, department referral, and wait-time buckets.</w:t>
      </w:r>
    </w:p>
    <w:p>
      <w:pPr>
        <w:pStyle w:val="ListParagraph"/>
        <w:numPr>
          <w:ilvl w:val="0"/>
          <w:numId w:val="1"/>
        </w:numPr>
        <w:spacing w:after="90" w:line="290"/>
      </w:pPr>
      <w:r>
        <w:rPr>
          <w:sz w:val="22"/>
          <w:szCs w:val="22"/>
        </w:rPr>
        <w:t xml:space="preserve">Give both a monthly (trend-based) view and a consolidated (overall) view of the same metrics.</w:t>
      </w:r>
    </w:p>
    <w:p>
      <w:pPr>
        <w:pStyle w:val="ListParagraph"/>
        <w:numPr>
          <w:ilvl w:val="0"/>
          <w:numId w:val="1"/>
        </w:numPr>
        <w:spacing w:after="90" w:line="290"/>
      </w:pPr>
      <w:r>
        <w:rPr>
          <w:sz w:val="22"/>
          <w:szCs w:val="22"/>
        </w:rPr>
        <w:t xml:space="preserve">Provide a patient-level detail table for drill-down, and a summary page with key takeaways.</w:t>
      </w:r>
    </w:p>
    <w:p>
      <w:pPr>
        <w:pStyle w:val="Heading1"/>
        <w:pBdr>
          <w:bottom w:val="single" w:color="118DFF" w:sz="6" w:space="4"/>
        </w:pBdr>
        <w:spacing w:after="160" w:before="360"/>
      </w:pPr>
      <w:r>
        <w:rPr>
          <w:b/>
          <w:bCs/>
          <w:color w:val="1F3864"/>
          <w:sz w:val="30"/>
          <w:szCs w:val="30"/>
        </w:rPr>
        <w:t xml:space="preserve">2. Data Source &amp; Data Model</w:t>
      </w:r>
    </w:p>
    <w:p>
      <w:pPr>
        <w:spacing w:after="160" w:line="300"/>
      </w:pPr>
      <w:r>
        <w:rPr>
          <w:sz w:val="22"/>
          <w:szCs w:val="22"/>
        </w:rPr>
        <w:t xml:space="preserve">The report is built on two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Table</w:t>
            </w:r>
          </w:p>
        </w:tc>
        <w:tc>
          <w:tcPr>
            <w:tcW w:type="dxa" w:w="3200"/>
            <w:shd w:fill="1F3864" w:val="clear"/>
            <w:tcMar>
              <w:top w:type="dxa" w:w="80"/>
              <w:left w:type="dxa" w:w="120"/>
              <w:bottom w:type="dxa" w:w="80"/>
              <w:right w:type="dxa" w:w="120"/>
            </w:tcMar>
          </w:tcPr>
          <w:p>
            <w:r>
              <w:rPr>
                <w:b/>
                <w:bCs/>
                <w:color w:val="FFFFFF"/>
                <w:sz w:val="20"/>
                <w:szCs w:val="20"/>
              </w:rPr>
              <w:t xml:space="preserve">Purpose</w:t>
            </w:r>
          </w:p>
        </w:tc>
        <w:tc>
          <w:tcPr>
            <w:tcW w:type="dxa" w:w="3800"/>
            <w:shd w:fill="1F3864" w:val="clear"/>
            <w:tcMar>
              <w:top w:type="dxa" w:w="80"/>
              <w:left w:type="dxa" w:w="120"/>
              <w:bottom w:type="dxa" w:w="80"/>
              <w:right w:type="dxa" w:w="120"/>
            </w:tcMar>
          </w:tcPr>
          <w:p>
            <w:r>
              <w:rPr>
                <w:b/>
                <w:bCs/>
                <w:color w:val="FFFFFF"/>
                <w:sz w:val="20"/>
                <w:szCs w:val="20"/>
              </w:rPr>
              <w:t xml:space="preserve">Key Columns</w:t>
            </w:r>
          </w:p>
        </w:tc>
      </w:tr>
      <w:tr>
        <w:tc>
          <w:tcPr>
            <w:tcW w:type="dxa" w:w="2600"/>
            <w:tcMar>
              <w:top w:type="dxa" w:w="80"/>
              <w:left w:type="dxa" w:w="120"/>
              <w:bottom w:type="dxa" w:w="80"/>
              <w:right w:type="dxa" w:w="120"/>
            </w:tcMar>
          </w:tcPr>
          <w:p>
            <w:r>
              <w:rPr>
                <w:b w:val="false"/>
                <w:bCs w:val="false"/>
                <w:color w:val="000000"/>
                <w:sz w:val="20"/>
                <w:szCs w:val="20"/>
              </w:rPr>
              <w:t xml:space="preserve">Hospital ER_Data</w:t>
            </w:r>
          </w:p>
        </w:tc>
        <w:tc>
          <w:tcPr>
            <w:tcW w:type="dxa" w:w="3200"/>
            <w:tcMar>
              <w:top w:type="dxa" w:w="80"/>
              <w:left w:type="dxa" w:w="120"/>
              <w:bottom w:type="dxa" w:w="80"/>
              <w:right w:type="dxa" w:w="120"/>
            </w:tcMar>
          </w:tcPr>
          <w:p>
            <w:r>
              <w:rPr>
                <w:b w:val="false"/>
                <w:bCs w:val="false"/>
                <w:color w:val="000000"/>
                <w:sz w:val="20"/>
                <w:szCs w:val="20"/>
              </w:rPr>
              <w:t xml:space="preserve">Main fact table — one row per patient visit</w:t>
            </w:r>
          </w:p>
        </w:tc>
        <w:tc>
          <w:tcPr>
            <w:tcW w:type="dxa" w:w="3800"/>
            <w:tcMar>
              <w:top w:type="dxa" w:w="80"/>
              <w:left w:type="dxa" w:w="120"/>
              <w:bottom w:type="dxa" w:w="80"/>
              <w:right w:type="dxa" w:w="120"/>
            </w:tcMar>
          </w:tcPr>
          <w:p>
            <w:r>
              <w:rPr>
                <w:b w:val="false"/>
                <w:bCs w:val="false"/>
                <w:color w:val="000000"/>
                <w:sz w:val="20"/>
                <w:szCs w:val="20"/>
              </w:rPr>
              <w:t xml:space="preserve">Patient Id, Patient Full Name, Patient Gender, Patient Age, Patient Race, Patient Admission Date, Department Referral, Admission Status, Patient Waittime, Waittime Status, Waittime Interval, Satisfaction Score, No of Patients, No of Patients Referred</w:t>
            </w:r>
          </w:p>
        </w:tc>
      </w:tr>
      <w:tr>
        <w:tc>
          <w:tcPr>
            <w:tcW w:type="dxa" w:w="2600"/>
            <w:tcMar>
              <w:top w:type="dxa" w:w="80"/>
              <w:left w:type="dxa" w:w="120"/>
              <w:bottom w:type="dxa" w:w="80"/>
              <w:right w:type="dxa" w:w="120"/>
            </w:tcMar>
          </w:tcPr>
          <w:p>
            <w:r>
              <w:rPr>
                <w:b w:val="false"/>
                <w:bCs w:val="false"/>
                <w:color w:val="000000"/>
                <w:sz w:val="20"/>
                <w:szCs w:val="20"/>
              </w:rPr>
              <w:t xml:space="preserve">Date Table</w:t>
            </w:r>
          </w:p>
        </w:tc>
        <w:tc>
          <w:tcPr>
            <w:tcW w:type="dxa" w:w="3200"/>
            <w:tcMar>
              <w:top w:type="dxa" w:w="80"/>
              <w:left w:type="dxa" w:w="120"/>
              <w:bottom w:type="dxa" w:w="80"/>
              <w:right w:type="dxa" w:w="120"/>
            </w:tcMar>
          </w:tcPr>
          <w:p>
            <w:r>
              <w:rPr>
                <w:b w:val="false"/>
                <w:bCs w:val="false"/>
                <w:color w:val="000000"/>
                <w:sz w:val="20"/>
                <w:szCs w:val="20"/>
              </w:rPr>
              <w:t xml:space="preserve">A separate date dimension table used for time-based slicing and trend charts</w:t>
            </w:r>
          </w:p>
        </w:tc>
        <w:tc>
          <w:tcPr>
            <w:tcW w:type="dxa" w:w="3800"/>
            <w:tcMar>
              <w:top w:type="dxa" w:w="80"/>
              <w:left w:type="dxa" w:w="120"/>
              <w:bottom w:type="dxa" w:w="80"/>
              <w:right w:type="dxa" w:w="120"/>
            </w:tcMar>
          </w:tcPr>
          <w:p>
            <w:r>
              <w:rPr>
                <w:b w:val="false"/>
                <w:bCs w:val="false"/>
                <w:color w:val="000000"/>
                <w:sz w:val="20"/>
                <w:szCs w:val="20"/>
              </w:rPr>
              <w:t xml:space="preserve">Date, Year, Month Name, Day Name, Date Hierarchy (Year → Quarter → Month → Day)</w:t>
            </w:r>
          </w:p>
        </w:tc>
      </w:tr>
    </w:tbl>
    <w:p>
      <w:pPr>
        <w:spacing w:after="120" w:before="200"/>
      </w:pPr>
    </w:p>
    <w:p>
      <w:pPr>
        <w:spacing w:after="160" w:line="300"/>
      </w:pPr>
      <w:r>
        <w:rPr>
          <w:sz w:val="22"/>
          <w:szCs w:val="22"/>
        </w:rPr>
        <w:t xml:space="preserve">Having a separate Date Table is one of the most important things I learned on this project — instead of relying on the date column that already sits inside the ER data, I connected a dedicated calendar table to it. This is a standard Power BI modeling practice because it lets every visual on the report slice consistently by Year / Month / Day, and it avoids issues when the fact table has gaps in dates.</w:t>
      </w:r>
    </w:p>
    <w:p>
      <w:pPr>
        <w:pStyle w:val="Heading2"/>
        <w:spacing w:after="120" w:before="280"/>
      </w:pPr>
      <w:r>
        <w:rPr>
          <w:b/>
          <w:bCs/>
          <w:color w:val="1F3864"/>
          <w:sz w:val="24"/>
          <w:szCs w:val="24"/>
        </w:rPr>
        <w:t xml:space="preserve">2.1 Relationship</w:t>
      </w:r>
    </w:p>
    <w:p>
      <w:pPr>
        <w:pStyle w:val="ListParagraph"/>
        <w:numPr>
          <w:ilvl w:val="0"/>
          <w:numId w:val="1"/>
        </w:numPr>
        <w:spacing w:after="90" w:line="290"/>
      </w:pPr>
      <w:r>
        <w:rPr>
          <w:sz w:val="22"/>
          <w:szCs w:val="22"/>
        </w:rPr>
        <w:t xml:space="preserve">Date Table[Date]  →  Hospital ER_Data[Patient Admission Date] (one-to-many, Date Table on the "one" side).</w:t>
      </w:r>
    </w:p>
    <w:p>
      <w:pPr>
        <w:pStyle w:val="ListParagraph"/>
        <w:numPr>
          <w:ilvl w:val="0"/>
          <w:numId w:val="1"/>
        </w:numPr>
        <w:spacing w:after="90" w:line="290"/>
      </w:pPr>
      <w:r>
        <w:rPr>
          <w:sz w:val="22"/>
          <w:szCs w:val="22"/>
        </w:rPr>
        <w:t xml:space="preserve">This relationship drives every slicer and trend/area chart in the report.</w:t>
      </w:r>
    </w:p>
    <w:p>
      <w:pPr>
        <w:pStyle w:val="Heading1"/>
        <w:pBdr>
          <w:bottom w:val="single" w:color="118DFF" w:sz="6" w:space="4"/>
        </w:pBdr>
        <w:spacing w:after="160" w:before="360"/>
      </w:pPr>
      <w:r>
        <w:rPr>
          <w:b/>
          <w:bCs/>
          <w:color w:val="1F3864"/>
          <w:sz w:val="30"/>
          <w:szCs w:val="30"/>
        </w:rPr>
        <w:t xml:space="preserve">3. Report Structure (Pages)</w:t>
      </w:r>
    </w:p>
    <w:p>
      <w:pPr>
        <w:spacing w:after="160" w:line="300"/>
      </w:pPr>
      <w:r>
        <w:rPr>
          <w:sz w:val="22"/>
          <w:szCs w:val="22"/>
        </w:rPr>
        <w:t xml:space="preserve">The report has 4 pages, connected with a page-navigator button so a viewer can move between them easily: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00"/>
      </w:tblGrid>
      <w:tr>
        <w:trPr>
          <w:tblHeader/>
        </w:trPr>
        <w:tc>
          <w:tcPr>
            <w:tcW w:type="dxa" w:w="700"/>
            <w:shd w:fill="1F3864" w:val="clear"/>
            <w:tcMar>
              <w:top w:type="dxa" w:w="80"/>
              <w:left w:type="dxa" w:w="120"/>
              <w:bottom w:type="dxa" w:w="80"/>
              <w:right w:type="dxa" w:w="120"/>
            </w:tcMar>
          </w:tcPr>
          <w:p>
            <w:r>
              <w:rPr>
                <w:b/>
                <w:bCs/>
                <w:color w:val="FFFFFF"/>
                <w:sz w:val="20"/>
                <w:szCs w:val="20"/>
              </w:rPr>
              <w:t xml:space="preserve">#</w:t>
            </w:r>
          </w:p>
        </w:tc>
        <w:tc>
          <w:tcPr>
            <w:tcW w:type="dxa" w:w="2800"/>
            <w:shd w:fill="1F3864" w:val="clear"/>
            <w:tcMar>
              <w:top w:type="dxa" w:w="80"/>
              <w:left w:type="dxa" w:w="120"/>
              <w:bottom w:type="dxa" w:w="80"/>
              <w:right w:type="dxa" w:w="120"/>
            </w:tcMar>
          </w:tcPr>
          <w:p>
            <w:r>
              <w:rPr>
                <w:b/>
                <w:bCs/>
                <w:color w:val="FFFFFF"/>
                <w:sz w:val="20"/>
                <w:szCs w:val="20"/>
              </w:rPr>
              <w:t xml:space="preserve">Page Name</w:t>
            </w:r>
          </w:p>
        </w:tc>
        <w:tc>
          <w:tcPr>
            <w:tcW w:type="dxa" w:w="6100"/>
            <w:shd w:fill="1F3864" w:val="clear"/>
            <w:tcMar>
              <w:top w:type="dxa" w:w="80"/>
              <w:left w:type="dxa" w:w="120"/>
              <w:bottom w:type="dxa" w:w="80"/>
              <w:right w:type="dxa" w:w="120"/>
            </w:tcMar>
          </w:tcPr>
          <w:p>
            <w:r>
              <w:rPr>
                <w:b/>
                <w:bCs/>
                <w:color w:val="FFFFFF"/>
                <w:sz w:val="20"/>
                <w:szCs w:val="20"/>
              </w:rPr>
              <w:t xml:space="preserve">What it shows</w:t>
            </w:r>
          </w:p>
        </w:tc>
      </w:tr>
      <w:tr>
        <w:tc>
          <w:tcPr>
            <w:tcW w:type="dxa" w:w="700"/>
            <w:tcMar>
              <w:top w:type="dxa" w:w="80"/>
              <w:left w:type="dxa" w:w="120"/>
              <w:bottom w:type="dxa" w:w="80"/>
              <w:right w:type="dxa" w:w="120"/>
            </w:tcMar>
          </w:tcPr>
          <w:p>
            <w:r>
              <w:rPr>
                <w:b w:val="false"/>
                <w:bCs w:val="false"/>
                <w:color w:val="000000"/>
                <w:sz w:val="20"/>
                <w:szCs w:val="20"/>
              </w:rPr>
              <w:t xml:space="preserve">1</w:t>
            </w:r>
          </w:p>
        </w:tc>
        <w:tc>
          <w:tcPr>
            <w:tcW w:type="dxa" w:w="2800"/>
            <w:tcMar>
              <w:top w:type="dxa" w:w="80"/>
              <w:left w:type="dxa" w:w="120"/>
              <w:bottom w:type="dxa" w:w="80"/>
              <w:right w:type="dxa" w:w="120"/>
            </w:tcMar>
          </w:tcPr>
          <w:p>
            <w:r>
              <w:rPr>
                <w:b w:val="false"/>
                <w:bCs w:val="false"/>
                <w:color w:val="000000"/>
                <w:sz w:val="20"/>
                <w:szCs w:val="20"/>
              </w:rPr>
              <w:t xml:space="preserve">Monthly View</w:t>
            </w:r>
          </w:p>
        </w:tc>
        <w:tc>
          <w:tcPr>
            <w:tcW w:type="dxa" w:w="6100"/>
            <w:tcMar>
              <w:top w:type="dxa" w:w="80"/>
              <w:left w:type="dxa" w:w="120"/>
              <w:bottom w:type="dxa" w:w="80"/>
              <w:right w:type="dxa" w:w="120"/>
            </w:tcMar>
          </w:tcPr>
          <w:p>
            <w:r>
              <w:rPr>
                <w:b w:val="false"/>
                <w:bCs w:val="false"/>
                <w:color w:val="000000"/>
                <w:sz w:val="20"/>
                <w:szCs w:val="20"/>
              </w:rPr>
              <w:t xml:space="preserve">Trend-based view of KPIs by day/month, plus demographic and wait-time breakdowns</w:t>
            </w:r>
          </w:p>
        </w:tc>
      </w:tr>
      <w:tr>
        <w:tc>
          <w:tcPr>
            <w:tcW w:type="dxa" w:w="700"/>
            <w:tcMar>
              <w:top w:type="dxa" w:w="80"/>
              <w:left w:type="dxa" w:w="120"/>
              <w:bottom w:type="dxa" w:w="80"/>
              <w:right w:type="dxa" w:w="120"/>
            </w:tcMar>
          </w:tcPr>
          <w:p>
            <w:r>
              <w:rPr>
                <w:b w:val="false"/>
                <w:bCs w:val="false"/>
                <w:color w:val="000000"/>
                <w:sz w:val="20"/>
                <w:szCs w:val="20"/>
              </w:rPr>
              <w:t xml:space="preserve">2</w:t>
            </w:r>
          </w:p>
        </w:tc>
        <w:tc>
          <w:tcPr>
            <w:tcW w:type="dxa" w:w="2800"/>
            <w:tcMar>
              <w:top w:type="dxa" w:w="80"/>
              <w:left w:type="dxa" w:w="120"/>
              <w:bottom w:type="dxa" w:w="80"/>
              <w:right w:type="dxa" w:w="120"/>
            </w:tcMar>
          </w:tcPr>
          <w:p>
            <w:r>
              <w:rPr>
                <w:b w:val="false"/>
                <w:bCs w:val="false"/>
                <w:color w:val="000000"/>
                <w:sz w:val="20"/>
                <w:szCs w:val="20"/>
              </w:rPr>
              <w:t xml:space="preserve">Consolidated View</w:t>
            </w:r>
          </w:p>
        </w:tc>
        <w:tc>
          <w:tcPr>
            <w:tcW w:type="dxa" w:w="6100"/>
            <w:tcMar>
              <w:top w:type="dxa" w:w="80"/>
              <w:left w:type="dxa" w:w="120"/>
              <w:bottom w:type="dxa" w:w="80"/>
              <w:right w:type="dxa" w:w="120"/>
            </w:tcMar>
          </w:tcPr>
          <w:p>
            <w:r>
              <w:rPr>
                <w:b w:val="false"/>
                <w:bCs w:val="false"/>
                <w:color w:val="000000"/>
                <w:sz w:val="20"/>
                <w:szCs w:val="20"/>
              </w:rPr>
              <w:t xml:space="preserve">Same KPIs, aggregated as an overall summary (month-wise columns instead of day-wise trend lines)</w:t>
            </w:r>
          </w:p>
        </w:tc>
      </w:tr>
      <w:tr>
        <w:tc>
          <w:tcPr>
            <w:tcW w:type="dxa" w:w="700"/>
            <w:tcMar>
              <w:top w:type="dxa" w:w="80"/>
              <w:left w:type="dxa" w:w="120"/>
              <w:bottom w:type="dxa" w:w="80"/>
              <w:right w:type="dxa" w:w="120"/>
            </w:tcMar>
          </w:tcPr>
          <w:p>
            <w:r>
              <w:rPr>
                <w:b w:val="false"/>
                <w:bCs w:val="false"/>
                <w:color w:val="000000"/>
                <w:sz w:val="20"/>
                <w:szCs w:val="20"/>
              </w:rPr>
              <w:t xml:space="preserve">3</w:t>
            </w:r>
          </w:p>
        </w:tc>
        <w:tc>
          <w:tcPr>
            <w:tcW w:type="dxa" w:w="2800"/>
            <w:tcMar>
              <w:top w:type="dxa" w:w="80"/>
              <w:left w:type="dxa" w:w="120"/>
              <w:bottom w:type="dxa" w:w="80"/>
              <w:right w:type="dxa" w:w="120"/>
            </w:tcMar>
          </w:tcPr>
          <w:p>
            <w:r>
              <w:rPr>
                <w:b w:val="false"/>
                <w:bCs w:val="false"/>
                <w:color w:val="000000"/>
                <w:sz w:val="20"/>
                <w:szCs w:val="20"/>
              </w:rPr>
              <w:t xml:space="preserve">Patient Details</w:t>
            </w:r>
          </w:p>
        </w:tc>
        <w:tc>
          <w:tcPr>
            <w:tcW w:type="dxa" w:w="6100"/>
            <w:tcMar>
              <w:top w:type="dxa" w:w="80"/>
              <w:left w:type="dxa" w:w="120"/>
              <w:bottom w:type="dxa" w:w="80"/>
              <w:right w:type="dxa" w:w="120"/>
            </w:tcMar>
          </w:tcPr>
          <w:p>
            <w:r>
              <w:rPr>
                <w:b w:val="false"/>
                <w:bCs w:val="false"/>
                <w:color w:val="000000"/>
                <w:sz w:val="20"/>
                <w:szCs w:val="20"/>
              </w:rPr>
              <w:t xml:space="preserve">A detailed, patient-level table for drill-down analysis</w:t>
            </w:r>
          </w:p>
        </w:tc>
      </w:tr>
      <w:tr>
        <w:tc>
          <w:tcPr>
            <w:tcW w:type="dxa" w:w="700"/>
            <w:tcMar>
              <w:top w:type="dxa" w:w="80"/>
              <w:left w:type="dxa" w:w="120"/>
              <w:bottom w:type="dxa" w:w="80"/>
              <w:right w:type="dxa" w:w="120"/>
            </w:tcMar>
          </w:tcPr>
          <w:p>
            <w:r>
              <w:rPr>
                <w:b w:val="false"/>
                <w:bCs w:val="false"/>
                <w:color w:val="000000"/>
                <w:sz w:val="20"/>
                <w:szCs w:val="20"/>
              </w:rPr>
              <w:t xml:space="preserve">4</w:t>
            </w:r>
          </w:p>
        </w:tc>
        <w:tc>
          <w:tcPr>
            <w:tcW w:type="dxa" w:w="2800"/>
            <w:tcMar>
              <w:top w:type="dxa" w:w="80"/>
              <w:left w:type="dxa" w:w="120"/>
              <w:bottom w:type="dxa" w:w="80"/>
              <w:right w:type="dxa" w:w="120"/>
            </w:tcMar>
          </w:tcPr>
          <w:p>
            <w:r>
              <w:rPr>
                <w:b w:val="false"/>
                <w:bCs w:val="false"/>
                <w:color w:val="000000"/>
                <w:sz w:val="20"/>
                <w:szCs w:val="20"/>
              </w:rPr>
              <w:t xml:space="preserve">Key Takeaways</w:t>
            </w:r>
          </w:p>
        </w:tc>
        <w:tc>
          <w:tcPr>
            <w:tcW w:type="dxa" w:w="6100"/>
            <w:tcMar>
              <w:top w:type="dxa" w:w="80"/>
              <w:left w:type="dxa" w:w="120"/>
              <w:bottom w:type="dxa" w:w="80"/>
              <w:right w:type="dxa" w:w="120"/>
            </w:tcMar>
          </w:tcPr>
          <w:p>
            <w:r>
              <w:rPr>
                <w:b w:val="false"/>
                <w:bCs w:val="false"/>
                <w:color w:val="000000"/>
                <w:sz w:val="20"/>
                <w:szCs w:val="20"/>
              </w:rPr>
              <w:t xml:space="preserve">A summary page highlighting the main insights from the data</w:t>
            </w:r>
          </w:p>
        </w:tc>
      </w:tr>
    </w:tbl>
    <w:p>
      <w:pPr>
        <w:spacing w:before="200"/>
      </w:pPr>
    </w:p>
    <w:p>
      <w:pPr>
        <w:pStyle w:val="Heading2"/>
        <w:spacing w:after="120" w:before="280"/>
      </w:pPr>
      <w:r>
        <w:rPr>
          <w:b/>
          <w:bCs/>
          <w:color w:val="1F3864"/>
          <w:sz w:val="24"/>
          <w:szCs w:val="24"/>
        </w:rPr>
        <w:t xml:space="preserve">3.1 Page 1 — Monthly View</w:t>
      </w:r>
    </w:p>
    <w:p>
      <w:pPr>
        <w:spacing w:after="160" w:line="300"/>
      </w:pPr>
      <w:r>
        <w:rPr>
          <w:sz w:val="22"/>
          <w:szCs w:val="22"/>
        </w:rPr>
        <w:t xml:space="preserve">This page focuses on trends over time. It has:</w:t>
      </w:r>
    </w:p>
    <w:p>
      <w:pPr>
        <w:pStyle w:val="ListParagraph"/>
        <w:numPr>
          <w:ilvl w:val="0"/>
          <w:numId w:val="1"/>
        </w:numPr>
        <w:spacing w:after="90" w:line="290"/>
      </w:pPr>
      <w:r>
        <w:rPr>
          <w:sz w:val="22"/>
          <w:szCs w:val="22"/>
        </w:rPr>
        <w:t xml:space="preserve">Year and Month slicers at the top to filter the whole page.</w:t>
      </w:r>
    </w:p>
    <w:p>
      <w:pPr>
        <w:pStyle w:val="ListParagraph"/>
        <w:numPr>
          <w:ilvl w:val="0"/>
          <w:numId w:val="1"/>
        </w:numPr>
        <w:spacing w:after="90" w:line="290"/>
      </w:pPr>
      <w:r>
        <w:rPr>
          <w:sz w:val="22"/>
          <w:szCs w:val="22"/>
        </w:rPr>
        <w:t xml:space="preserve">4 KPI cards: No. of Patients, Avg Wait Time, Patient Satisfaction Score, No. of Patients Referred.</w:t>
      </w:r>
    </w:p>
    <w:p>
      <w:pPr>
        <w:pStyle w:val="ListParagraph"/>
        <w:numPr>
          <w:ilvl w:val="0"/>
          <w:numId w:val="1"/>
        </w:numPr>
        <w:spacing w:after="90" w:line="290"/>
      </w:pPr>
      <w:r>
        <w:rPr>
          <w:sz w:val="22"/>
          <w:szCs w:val="22"/>
        </w:rPr>
        <w:t xml:space="preserve">Area charts showing how each KPI moves day by day across the selected period.</w:t>
      </w:r>
    </w:p>
    <w:p>
      <w:pPr>
        <w:pStyle w:val="ListParagraph"/>
        <w:numPr>
          <w:ilvl w:val="0"/>
          <w:numId w:val="1"/>
        </w:numPr>
        <w:spacing w:after="90" w:line="290"/>
      </w:pPr>
      <w:r>
        <w:rPr>
          <w:sz w:val="22"/>
          <w:szCs w:val="22"/>
        </w:rPr>
        <w:t xml:space="preserve">A matrix (pivot table) comparing patient counts against Admission Status.</w:t>
      </w:r>
    </w:p>
    <w:p>
      <w:pPr>
        <w:pStyle w:val="ListParagraph"/>
        <w:numPr>
          <w:ilvl w:val="0"/>
          <w:numId w:val="1"/>
        </w:numPr>
        <w:spacing w:after="90" w:line="290"/>
      </w:pPr>
      <w:r>
        <w:rPr>
          <w:sz w:val="22"/>
          <w:szCs w:val="22"/>
        </w:rPr>
        <w:t xml:space="preserve">Bar/column charts for Admission Status, Age Group, and Department Referral.</w:t>
      </w:r>
    </w:p>
    <w:p>
      <w:pPr>
        <w:pStyle w:val="ListParagraph"/>
        <w:numPr>
          <w:ilvl w:val="0"/>
          <w:numId w:val="1"/>
        </w:numPr>
        <w:spacing w:after="90" w:line="290"/>
      </w:pPr>
      <w:r>
        <w:rPr>
          <w:sz w:val="22"/>
          <w:szCs w:val="22"/>
        </w:rPr>
        <w:t xml:space="preserve">Donut charts for Waittime Status and Patient Gender split.</w:t>
      </w:r>
    </w:p>
    <w:p>
      <w:pPr>
        <w:pStyle w:val="ListParagraph"/>
        <w:numPr>
          <w:ilvl w:val="0"/>
          <w:numId w:val="1"/>
        </w:numPr>
        <w:spacing w:after="90" w:line="290"/>
      </w:pPr>
      <w:r>
        <w:rPr>
          <w:sz w:val="22"/>
          <w:szCs w:val="22"/>
        </w:rPr>
        <w:t xml:space="preserve">A clustered bar chart for Patient Race distribution.</w:t>
      </w:r>
    </w:p>
    <w:p>
      <w:pPr>
        <w:pStyle w:val="ListParagraph"/>
        <w:numPr>
          <w:ilvl w:val="0"/>
          <w:numId w:val="1"/>
        </w:numPr>
        <w:spacing w:after="90" w:line="290"/>
      </w:pPr>
      <w:r>
        <w:rPr>
          <w:sz w:val="22"/>
          <w:szCs w:val="22"/>
        </w:rPr>
        <w:t xml:space="preserve">A day-of-week column chart and a Waittime Interval matrix.</w:t>
      </w:r>
    </w:p>
    <w:p>
      <w:pPr>
        <w:pStyle w:val="Heading2"/>
        <w:spacing w:after="120" w:before="280"/>
      </w:pPr>
      <w:r>
        <w:rPr>
          <w:b/>
          <w:bCs/>
          <w:color w:val="1F3864"/>
          <w:sz w:val="24"/>
          <w:szCs w:val="24"/>
        </w:rPr>
        <w:t xml:space="preserve">3.2 Page 2 — Consolidated View</w:t>
      </w:r>
    </w:p>
    <w:p>
      <w:pPr>
        <w:spacing w:after="160" w:line="300"/>
      </w:pPr>
      <w:r>
        <w:rPr>
          <w:sz w:val="22"/>
          <w:szCs w:val="22"/>
        </w:rPr>
        <w:t xml:space="preserve">This is almost a mirror of the Monthly View, but the charts are aggregated month-wise (using column charts) instead of a continuous day-wise trend line. This gives a quicker, higher-level summary rather than a granular trend — useful for someone who just wants the overall picture rather than daily fluctuations.</w:t>
      </w:r>
    </w:p>
    <w:p>
      <w:pPr>
        <w:pStyle w:val="Heading2"/>
        <w:spacing w:after="120" w:before="280"/>
      </w:pPr>
      <w:r>
        <w:rPr>
          <w:b/>
          <w:bCs/>
          <w:color w:val="1F3864"/>
          <w:sz w:val="24"/>
          <w:szCs w:val="24"/>
        </w:rPr>
        <w:t xml:space="preserve">3.3 Page 3 — Patient Details</w:t>
      </w:r>
    </w:p>
    <w:p>
      <w:pPr>
        <w:spacing w:after="160" w:line="300"/>
      </w:pPr>
      <w:r>
        <w:rPr>
          <w:sz w:val="22"/>
          <w:szCs w:val="22"/>
        </w:rPr>
        <w:t xml:space="preserve">This page has one big detailed table listing individual patients with: Patient Id, full name, gender, age, admission date (broken into Year/Quarter/Month/Day), race, wait time, department referral, and admission status. This is meant for a user who wants to drill into specific patient records rather than just look at aggregated KPIs.</w:t>
      </w:r>
    </w:p>
    <w:p>
      <w:pPr>
        <w:pStyle w:val="Heading2"/>
        <w:spacing w:after="120" w:before="280"/>
      </w:pPr>
      <w:r>
        <w:rPr>
          <w:b/>
          <w:bCs/>
          <w:color w:val="1F3864"/>
          <w:sz w:val="24"/>
          <w:szCs w:val="24"/>
        </w:rPr>
        <w:t xml:space="preserve">3.4 Page 4 — Key Takeaways</w:t>
      </w:r>
    </w:p>
    <w:p>
      <w:pPr>
        <w:spacing w:after="160" w:line="300"/>
      </w:pPr>
      <w:r>
        <w:rPr>
          <w:sz w:val="22"/>
          <w:szCs w:val="22"/>
        </w:rPr>
        <w:t xml:space="preserve">A simple summary page with a date slicer and a trend chart, designed to hold the key written insights/observations from the analysis — the kind of page you'd show first in a meeting before diving into the detailed pages.</w:t>
      </w:r>
    </w:p>
    <w:p>
      <w:pPr>
        <w:pStyle w:val="Heading1"/>
        <w:pBdr>
          <w:bottom w:val="single" w:color="118DFF" w:sz="6" w:space="4"/>
        </w:pBdr>
        <w:spacing w:after="160" w:before="360"/>
      </w:pPr>
      <w:r>
        <w:rPr>
          <w:b/>
          <w:bCs/>
          <w:color w:val="1F3864"/>
          <w:sz w:val="30"/>
          <w:szCs w:val="30"/>
        </w:rPr>
        <w:t xml:space="preserve">4. Visuals Used &amp; Why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3864" w:val="clear"/>
            <w:tcMar>
              <w:top w:type="dxa" w:w="80"/>
              <w:left w:type="dxa" w:w="120"/>
              <w:bottom w:type="dxa" w:w="80"/>
              <w:right w:type="dxa" w:w="120"/>
            </w:tcMar>
          </w:tcPr>
          <w:p>
            <w:r>
              <w:rPr>
                <w:b/>
                <w:bCs/>
                <w:color w:val="FFFFFF"/>
                <w:sz w:val="20"/>
                <w:szCs w:val="20"/>
              </w:rPr>
              <w:t xml:space="preserve">Visual</w:t>
            </w:r>
          </w:p>
        </w:tc>
        <w:tc>
          <w:tcPr>
            <w:tcW w:type="dxa" w:w="6200"/>
            <w:shd w:fill="1F3864" w:val="clear"/>
            <w:tcMar>
              <w:top w:type="dxa" w:w="80"/>
              <w:left w:type="dxa" w:w="120"/>
              <w:bottom w:type="dxa" w:w="80"/>
              <w:right w:type="dxa" w:w="120"/>
            </w:tcMar>
          </w:tcPr>
          <w:p>
            <w:r>
              <w:rPr>
                <w:b/>
                <w:bCs/>
                <w:color w:val="FFFFFF"/>
                <w:sz w:val="20"/>
                <w:szCs w:val="20"/>
              </w:rPr>
              <w:t xml:space="preserve">Used For</w:t>
            </w:r>
          </w:p>
        </w:tc>
      </w:tr>
      <w:tr>
        <w:tc>
          <w:tcPr>
            <w:tcW w:type="dxa" w:w="3400"/>
            <w:tcMar>
              <w:top w:type="dxa" w:w="80"/>
              <w:left w:type="dxa" w:w="120"/>
              <w:bottom w:type="dxa" w:w="80"/>
              <w:right w:type="dxa" w:w="120"/>
            </w:tcMar>
          </w:tcPr>
          <w:p>
            <w:r>
              <w:rPr>
                <w:b w:val="false"/>
                <w:bCs w:val="false"/>
                <w:color w:val="000000"/>
                <w:sz w:val="20"/>
                <w:szCs w:val="20"/>
              </w:rPr>
              <w:t xml:space="preserve">Card</w:t>
            </w:r>
          </w:p>
        </w:tc>
        <w:tc>
          <w:tcPr>
            <w:tcW w:type="dxa" w:w="6200"/>
            <w:tcMar>
              <w:top w:type="dxa" w:w="80"/>
              <w:left w:type="dxa" w:w="120"/>
              <w:bottom w:type="dxa" w:w="80"/>
              <w:right w:type="dxa" w:w="120"/>
            </w:tcMar>
          </w:tcPr>
          <w:p>
            <w:r>
              <w:rPr>
                <w:b w:val="false"/>
                <w:bCs w:val="false"/>
                <w:color w:val="000000"/>
                <w:sz w:val="20"/>
                <w:szCs w:val="20"/>
              </w:rPr>
              <w:t xml:space="preserve">Showing single KPI numbers at a glance (No. of Patients, Avg Wait Time, Satisfaction Score, Referrals)</w:t>
            </w:r>
          </w:p>
        </w:tc>
      </w:tr>
      <w:tr>
        <w:tc>
          <w:tcPr>
            <w:tcW w:type="dxa" w:w="3400"/>
            <w:tcMar>
              <w:top w:type="dxa" w:w="80"/>
              <w:left w:type="dxa" w:w="120"/>
              <w:bottom w:type="dxa" w:w="80"/>
              <w:right w:type="dxa" w:w="120"/>
            </w:tcMar>
          </w:tcPr>
          <w:p>
            <w:r>
              <w:rPr>
                <w:b w:val="false"/>
                <w:bCs w:val="false"/>
                <w:color w:val="000000"/>
                <w:sz w:val="20"/>
                <w:szCs w:val="20"/>
              </w:rPr>
              <w:t xml:space="preserve">Area Chart</w:t>
            </w:r>
          </w:p>
        </w:tc>
        <w:tc>
          <w:tcPr>
            <w:tcW w:type="dxa" w:w="6200"/>
            <w:tcMar>
              <w:top w:type="dxa" w:w="80"/>
              <w:left w:type="dxa" w:w="120"/>
              <w:bottom w:type="dxa" w:w="80"/>
              <w:right w:type="dxa" w:w="120"/>
            </w:tcMar>
          </w:tcPr>
          <w:p>
            <w:r>
              <w:rPr>
                <w:b w:val="false"/>
                <w:bCs w:val="false"/>
                <w:color w:val="000000"/>
                <w:sz w:val="20"/>
                <w:szCs w:val="20"/>
              </w:rPr>
              <w:t xml:space="preserve">Showing day-wise trend of a KPI over the selected period</w:t>
            </w:r>
          </w:p>
        </w:tc>
      </w:tr>
      <w:tr>
        <w:tc>
          <w:tcPr>
            <w:tcW w:type="dxa" w:w="3400"/>
            <w:tcMar>
              <w:top w:type="dxa" w:w="80"/>
              <w:left w:type="dxa" w:w="120"/>
              <w:bottom w:type="dxa" w:w="80"/>
              <w:right w:type="dxa" w:w="120"/>
            </w:tcMar>
          </w:tcPr>
          <w:p>
            <w:r>
              <w:rPr>
                <w:b w:val="false"/>
                <w:bCs w:val="false"/>
                <w:color w:val="000000"/>
                <w:sz w:val="20"/>
                <w:szCs w:val="20"/>
              </w:rPr>
              <w:t xml:space="preserve">Column / Clustered Column Chart</w:t>
            </w:r>
          </w:p>
        </w:tc>
        <w:tc>
          <w:tcPr>
            <w:tcW w:type="dxa" w:w="6200"/>
            <w:tcMar>
              <w:top w:type="dxa" w:w="80"/>
              <w:left w:type="dxa" w:w="120"/>
              <w:bottom w:type="dxa" w:w="80"/>
              <w:right w:type="dxa" w:w="120"/>
            </w:tcMar>
          </w:tcPr>
          <w:p>
            <w:r>
              <w:rPr>
                <w:b w:val="false"/>
                <w:bCs w:val="false"/>
                <w:color w:val="000000"/>
                <w:sz w:val="20"/>
                <w:szCs w:val="20"/>
              </w:rPr>
              <w:t xml:space="preserve">Comparing a KPI across categories (Age Group, Month, Day Name)</w:t>
            </w:r>
          </w:p>
        </w:tc>
      </w:tr>
      <w:tr>
        <w:tc>
          <w:tcPr>
            <w:tcW w:type="dxa" w:w="3400"/>
            <w:tcMar>
              <w:top w:type="dxa" w:w="80"/>
              <w:left w:type="dxa" w:w="120"/>
              <w:bottom w:type="dxa" w:w="80"/>
              <w:right w:type="dxa" w:w="120"/>
            </w:tcMar>
          </w:tcPr>
          <w:p>
            <w:r>
              <w:rPr>
                <w:b w:val="false"/>
                <w:bCs w:val="false"/>
                <w:color w:val="000000"/>
                <w:sz w:val="20"/>
                <w:szCs w:val="20"/>
              </w:rPr>
              <w:t xml:space="preserve">Bar / Clustered Bar Chart</w:t>
            </w:r>
          </w:p>
        </w:tc>
        <w:tc>
          <w:tcPr>
            <w:tcW w:type="dxa" w:w="6200"/>
            <w:tcMar>
              <w:top w:type="dxa" w:w="80"/>
              <w:left w:type="dxa" w:w="120"/>
              <w:bottom w:type="dxa" w:w="80"/>
              <w:right w:type="dxa" w:w="120"/>
            </w:tcMar>
          </w:tcPr>
          <w:p>
            <w:r>
              <w:rPr>
                <w:b w:val="false"/>
                <w:bCs w:val="false"/>
                <w:color w:val="000000"/>
                <w:sz w:val="20"/>
                <w:szCs w:val="20"/>
              </w:rPr>
              <w:t xml:space="preserve">Comparing a KPI across categories with longer labels (Admission Status, Department Referral, Patient Race)</w:t>
            </w:r>
          </w:p>
        </w:tc>
      </w:tr>
      <w:tr>
        <w:tc>
          <w:tcPr>
            <w:tcW w:type="dxa" w:w="3400"/>
            <w:tcMar>
              <w:top w:type="dxa" w:w="80"/>
              <w:left w:type="dxa" w:w="120"/>
              <w:bottom w:type="dxa" w:w="80"/>
              <w:right w:type="dxa" w:w="120"/>
            </w:tcMar>
          </w:tcPr>
          <w:p>
            <w:r>
              <w:rPr>
                <w:b w:val="false"/>
                <w:bCs w:val="false"/>
                <w:color w:val="000000"/>
                <w:sz w:val="20"/>
                <w:szCs w:val="20"/>
              </w:rPr>
              <w:t xml:space="preserve">Donut Chart</w:t>
            </w:r>
          </w:p>
        </w:tc>
        <w:tc>
          <w:tcPr>
            <w:tcW w:type="dxa" w:w="6200"/>
            <w:tcMar>
              <w:top w:type="dxa" w:w="80"/>
              <w:left w:type="dxa" w:w="120"/>
              <w:bottom w:type="dxa" w:w="80"/>
              <w:right w:type="dxa" w:w="120"/>
            </w:tcMar>
          </w:tcPr>
          <w:p>
            <w:r>
              <w:rPr>
                <w:b w:val="false"/>
                <w:bCs w:val="false"/>
                <w:color w:val="000000"/>
                <w:sz w:val="20"/>
                <w:szCs w:val="20"/>
              </w:rPr>
              <w:t xml:space="preserve">Showing proportion/share (Waittime Status split, Gender split)</w:t>
            </w:r>
          </w:p>
        </w:tc>
      </w:tr>
      <w:tr>
        <w:tc>
          <w:tcPr>
            <w:tcW w:type="dxa" w:w="3400"/>
            <w:tcMar>
              <w:top w:type="dxa" w:w="80"/>
              <w:left w:type="dxa" w:w="120"/>
              <w:bottom w:type="dxa" w:w="80"/>
              <w:right w:type="dxa" w:w="120"/>
            </w:tcMar>
          </w:tcPr>
          <w:p>
            <w:r>
              <w:rPr>
                <w:b w:val="false"/>
                <w:bCs w:val="false"/>
                <w:color w:val="000000"/>
                <w:sz w:val="20"/>
                <w:szCs w:val="20"/>
              </w:rPr>
              <w:t xml:space="preserve">Matrix (Pivot Table)</w:t>
            </w:r>
          </w:p>
        </w:tc>
        <w:tc>
          <w:tcPr>
            <w:tcW w:type="dxa" w:w="6200"/>
            <w:tcMar>
              <w:top w:type="dxa" w:w="80"/>
              <w:left w:type="dxa" w:w="120"/>
              <w:bottom w:type="dxa" w:w="80"/>
              <w:right w:type="dxa" w:w="120"/>
            </w:tcMar>
          </w:tcPr>
          <w:p>
            <w:r>
              <w:rPr>
                <w:b w:val="false"/>
                <w:bCs w:val="false"/>
                <w:color w:val="000000"/>
                <w:sz w:val="20"/>
                <w:szCs w:val="20"/>
              </w:rPr>
              <w:t xml:space="preserve">Cross-tabulating two dimensions against a KPI (e.g., Admission Status vs. Patients, or Waittime Interval vs. Day)</w:t>
            </w:r>
          </w:p>
        </w:tc>
      </w:tr>
      <w:tr>
        <w:tc>
          <w:tcPr>
            <w:tcW w:type="dxa" w:w="3400"/>
            <w:tcMar>
              <w:top w:type="dxa" w:w="80"/>
              <w:left w:type="dxa" w:w="120"/>
              <w:bottom w:type="dxa" w:w="80"/>
              <w:right w:type="dxa" w:w="120"/>
            </w:tcMar>
          </w:tcPr>
          <w:p>
            <w:r>
              <w:rPr>
                <w:b w:val="false"/>
                <w:bCs w:val="false"/>
                <w:color w:val="000000"/>
                <w:sz w:val="20"/>
                <w:szCs w:val="20"/>
              </w:rPr>
              <w:t xml:space="preserve">Table</w:t>
            </w:r>
          </w:p>
        </w:tc>
        <w:tc>
          <w:tcPr>
            <w:tcW w:type="dxa" w:w="6200"/>
            <w:tcMar>
              <w:top w:type="dxa" w:w="80"/>
              <w:left w:type="dxa" w:w="120"/>
              <w:bottom w:type="dxa" w:w="80"/>
              <w:right w:type="dxa" w:w="120"/>
            </w:tcMar>
          </w:tcPr>
          <w:p>
            <w:r>
              <w:rPr>
                <w:b w:val="false"/>
                <w:bCs w:val="false"/>
                <w:color w:val="000000"/>
                <w:sz w:val="20"/>
                <w:szCs w:val="20"/>
              </w:rPr>
              <w:t xml:space="preserve">Row-level patient detail for drill-down</w:t>
            </w:r>
          </w:p>
        </w:tc>
      </w:tr>
      <w:tr>
        <w:tc>
          <w:tcPr>
            <w:tcW w:type="dxa" w:w="3400"/>
            <w:tcMar>
              <w:top w:type="dxa" w:w="80"/>
              <w:left w:type="dxa" w:w="120"/>
              <w:bottom w:type="dxa" w:w="80"/>
              <w:right w:type="dxa" w:w="120"/>
            </w:tcMar>
          </w:tcPr>
          <w:p>
            <w:r>
              <w:rPr>
                <w:b w:val="false"/>
                <w:bCs w:val="false"/>
                <w:color w:val="000000"/>
                <w:sz w:val="20"/>
                <w:szCs w:val="20"/>
              </w:rPr>
              <w:t xml:space="preserve">Slicer</w:t>
            </w:r>
          </w:p>
        </w:tc>
        <w:tc>
          <w:tcPr>
            <w:tcW w:type="dxa" w:w="6200"/>
            <w:tcMar>
              <w:top w:type="dxa" w:w="80"/>
              <w:left w:type="dxa" w:w="120"/>
              <w:bottom w:type="dxa" w:w="80"/>
              <w:right w:type="dxa" w:w="120"/>
            </w:tcMar>
          </w:tcPr>
          <w:p>
            <w:r>
              <w:rPr>
                <w:b w:val="false"/>
                <w:bCs w:val="false"/>
                <w:color w:val="000000"/>
                <w:sz w:val="20"/>
                <w:szCs w:val="20"/>
              </w:rPr>
              <w:t xml:space="preserve">Filtering the page by Year, Month, or Date</w:t>
            </w:r>
          </w:p>
        </w:tc>
      </w:tr>
      <w:tr>
        <w:tc>
          <w:tcPr>
            <w:tcW w:type="dxa" w:w="3400"/>
            <w:tcMar>
              <w:top w:type="dxa" w:w="80"/>
              <w:left w:type="dxa" w:w="120"/>
              <w:bottom w:type="dxa" w:w="80"/>
              <w:right w:type="dxa" w:w="120"/>
            </w:tcMar>
          </w:tcPr>
          <w:p>
            <w:r>
              <w:rPr>
                <w:b w:val="false"/>
                <w:bCs w:val="false"/>
                <w:color w:val="000000"/>
                <w:sz w:val="20"/>
                <w:szCs w:val="20"/>
              </w:rPr>
              <w:t xml:space="preserve">Buttons / Page Navigator</w:t>
            </w:r>
          </w:p>
        </w:tc>
        <w:tc>
          <w:tcPr>
            <w:tcW w:type="dxa" w:w="6200"/>
            <w:tcMar>
              <w:top w:type="dxa" w:w="80"/>
              <w:left w:type="dxa" w:w="120"/>
              <w:bottom w:type="dxa" w:w="80"/>
              <w:right w:type="dxa" w:w="120"/>
            </w:tcMar>
          </w:tcPr>
          <w:p>
            <w:r>
              <w:rPr>
                <w:b w:val="false"/>
                <w:bCs w:val="false"/>
                <w:color w:val="000000"/>
                <w:sz w:val="20"/>
                <w:szCs w:val="20"/>
              </w:rPr>
              <w:t xml:space="preserve">Navigation between the 4 report pages</w:t>
            </w:r>
          </w:p>
        </w:tc>
      </w:tr>
    </w:tbl>
    <w:p>
      <w:pPr>
        <w:pStyle w:val="Heading1"/>
        <w:pBdr>
          <w:bottom w:val="single" w:color="118DFF" w:sz="6" w:space="4"/>
        </w:pBdr>
        <w:spacing w:after="160" w:before="360"/>
      </w:pPr>
      <w:r>
        <w:rPr>
          <w:b/>
          <w:bCs/>
          <w:color w:val="1F3864"/>
          <w:sz w:val="30"/>
          <w:szCs w:val="30"/>
        </w:rPr>
        <w:t xml:space="preserve">5. Design &amp; Formatting Choices</w:t>
      </w:r>
    </w:p>
    <w:p>
      <w:pPr>
        <w:spacing w:after="160" w:line="300"/>
      </w:pPr>
      <w:r>
        <w:rPr>
          <w:sz w:val="22"/>
          <w:szCs w:val="22"/>
        </w:rPr>
        <w:t xml:space="preserve">For the visual theme, I used Power BI's built-in CY26SU05 theme as the base rather than building a fully custom theme from scratch, and adjusted individual visuals on top of it. Key design decisions:</w:t>
      </w:r>
    </w:p>
    <w:p>
      <w:pPr>
        <w:pStyle w:val="ListParagraph"/>
        <w:numPr>
          <w:ilvl w:val="0"/>
          <w:numId w:val="1"/>
        </w:numPr>
        <w:spacing w:after="90" w:line="290"/>
      </w:pPr>
      <w:r>
        <w:rPr>
          <w:b/>
          <w:bCs/>
          <w:sz w:val="22"/>
          <w:szCs w:val="22"/>
        </w:rPr>
        <w:t xml:space="preserve">Color usage: </w:t>
      </w:r>
      <w:r>
        <w:rPr>
          <w:sz w:val="22"/>
          <w:szCs w:val="22"/>
        </w:rPr>
        <w:t xml:space="preserve">Kept the primary accent blue (#118DFF) consistent for the main KPI numbers, and used green/red tones only where a good vs. bad meaning was intended (e.g., wait time status).</w:t>
      </w:r>
    </w:p>
    <w:p>
      <w:pPr>
        <w:pStyle w:val="ListParagraph"/>
        <w:numPr>
          <w:ilvl w:val="0"/>
          <w:numId w:val="1"/>
        </w:numPr>
        <w:spacing w:after="90" w:line="290"/>
      </w:pPr>
      <w:r>
        <w:rPr>
          <w:b/>
          <w:bCs/>
          <w:sz w:val="22"/>
          <w:szCs w:val="22"/>
        </w:rPr>
        <w:t xml:space="preserve">Card formatting: </w:t>
      </w:r>
      <w:r>
        <w:rPr>
          <w:sz w:val="22"/>
          <w:szCs w:val="22"/>
        </w:rPr>
        <w:t xml:space="preserve">Kept the 4 top KPI cards visually identical in size, font, and spacing across pages so a viewer's eye doesn't need to re-adjust when comparing Monthly View vs Consolidated View.</w:t>
      </w:r>
    </w:p>
    <w:p>
      <w:pPr>
        <w:pStyle w:val="ListParagraph"/>
        <w:numPr>
          <w:ilvl w:val="0"/>
          <w:numId w:val="1"/>
        </w:numPr>
        <w:spacing w:after="90" w:line="290"/>
      </w:pPr>
      <w:r>
        <w:rPr>
          <w:b/>
          <w:bCs/>
          <w:sz w:val="22"/>
          <w:szCs w:val="22"/>
        </w:rPr>
        <w:t xml:space="preserve">Donut &amp; matrix styling: </w:t>
      </w:r>
      <w:r>
        <w:rPr>
          <w:sz w:val="22"/>
          <w:szCs w:val="22"/>
        </w:rPr>
        <w:t xml:space="preserve">Spent time tuning label formatting and colors on the donut charts and the wait-time matrix so the categories are easy to tell apart without being too colorful/noisy.</w:t>
      </w:r>
    </w:p>
    <w:p>
      <w:pPr>
        <w:pStyle w:val="ListParagraph"/>
        <w:numPr>
          <w:ilvl w:val="0"/>
          <w:numId w:val="1"/>
        </w:numPr>
        <w:spacing w:after="90" w:line="290"/>
      </w:pPr>
      <w:r>
        <w:rPr>
          <w:b/>
          <w:bCs/>
          <w:sz w:val="22"/>
          <w:szCs w:val="22"/>
        </w:rPr>
        <w:t xml:space="preserve">Layout consistency: </w:t>
      </w:r>
      <w:r>
        <w:rPr>
          <w:sz w:val="22"/>
          <w:szCs w:val="22"/>
        </w:rPr>
        <w:t xml:space="preserve">Repeated the same header banner ("HOSPITAL EMERGENCY ROOM DASHBOARD") and page title textbox across all 4 pages, so the report feels like a single connected product instead of 4 separate reports.</w:t>
      </w:r>
    </w:p>
    <w:p>
      <w:pPr>
        <w:pStyle w:val="ListParagraph"/>
        <w:numPr>
          <w:ilvl w:val="0"/>
          <w:numId w:val="1"/>
        </w:numPr>
        <w:spacing w:after="90" w:line="290"/>
      </w:pPr>
      <w:r>
        <w:rPr>
          <w:b/>
          <w:bCs/>
          <w:sz w:val="22"/>
          <w:szCs w:val="22"/>
        </w:rPr>
        <w:t xml:space="preserve">Navigation: </w:t>
      </w:r>
      <w:r>
        <w:rPr>
          <w:sz w:val="22"/>
          <w:szCs w:val="22"/>
        </w:rPr>
        <w:t xml:space="preserve">Added a page-navigator + action buttons so the report can be used like a mini-app, without needing the user to know where each page tab is.</w:t>
      </w:r>
    </w:p>
    <w:p>
      <w:pPr>
        <w:pStyle w:val="Heading1"/>
        <w:pBdr>
          <w:bottom w:val="single" w:color="118DFF" w:sz="6" w:space="4"/>
        </w:pBdr>
        <w:spacing w:after="160" w:before="360"/>
      </w:pPr>
      <w:r>
        <w:rPr>
          <w:b/>
          <w:bCs/>
          <w:color w:val="1F3864"/>
          <w:sz w:val="30"/>
          <w:szCs w:val="30"/>
        </w:rPr>
        <w:t xml:space="preserve">6. Challenges Faced &amp; How I Solved Them</w:t>
      </w:r>
    </w:p>
    <w:p>
      <w:pPr>
        <w:spacing w:after="160" w:line="300"/>
      </w:pPr>
      <w:r>
        <w:rPr>
          <w:sz w:val="22"/>
          <w:szCs w:val="22"/>
        </w:rPr>
        <w:t xml:space="preserve">Most of the real challenges in this project came from the data modeling side — deciding when to create a calculated column vs. a measure, and how to design new fields that would actually make the visuals easier to read. A few of these below:</w:t>
      </w:r>
    </w:p>
    <w:p>
      <w:pPr>
        <w:pStyle w:val="ListParagraph"/>
        <w:numPr>
          <w:ilvl w:val="0"/>
          <w:numId w:val="1"/>
        </w:numPr>
        <w:spacing w:after="90" w:line="290"/>
      </w:pPr>
      <w:r>
        <w:rPr>
          <w:b/>
          <w:bCs/>
          <w:sz w:val="22"/>
          <w:szCs w:val="22"/>
        </w:rPr>
        <w:t xml:space="preserve">Bucketing raw wait time into a readable category (Waittime Status): </w:t>
      </w:r>
      <w:r>
        <w:rPr>
          <w:sz w:val="22"/>
          <w:szCs w:val="22"/>
        </w:rPr>
        <w:t xml:space="preserve">The raw "Patient Waittime" column is just a number in minutes, which isn't very useful directly in a donut chart. I had to create a calculated column that classifies each patient's wait time into a status (e.g., Good / Average / Bad) using nested IF/SWITCH logic. The conceptual challenge here was understanding that this needed to be a calculated column, not a measure — because the classification has to be evaluated per row (row context) before it can be aggregated and counted in a chart.</w:t>
      </w:r>
    </w:p>
    <w:p>
      <w:pPr>
        <w:pStyle w:val="ListParagraph"/>
        <w:numPr>
          <w:ilvl w:val="0"/>
          <w:numId w:val="1"/>
        </w:numPr>
        <w:spacing w:after="90" w:line="290"/>
      </w:pPr>
      <w:r>
        <w:rPr>
          <w:b/>
          <w:bCs/>
          <w:sz w:val="22"/>
          <w:szCs w:val="22"/>
        </w:rPr>
        <w:t xml:space="preserve">Creating wait-time buckets/intervals (Waittime Interval): </w:t>
      </w:r>
      <w:r>
        <w:rPr>
          <w:sz w:val="22"/>
          <w:szCs w:val="22"/>
        </w:rPr>
        <w:t xml:space="preserve">For the matrix breaking down wait time by day, a single continuous number doesn't group well. I had to design a new field that bins the wait time into ranges (intervals) instead of showing every individual minute value. Getting the bucket boundaries right so the matrix stayed readable (not too many rows, not too few) took a few attempts.</w:t>
      </w:r>
    </w:p>
    <w:p>
      <w:pPr>
        <w:pStyle w:val="ListParagraph"/>
        <w:numPr>
          <w:ilvl w:val="0"/>
          <w:numId w:val="1"/>
        </w:numPr>
        <w:spacing w:after="90" w:line="290"/>
      </w:pPr>
      <w:r>
        <w:rPr>
          <w:b/>
          <w:bCs/>
          <w:sz w:val="22"/>
          <w:szCs w:val="22"/>
        </w:rPr>
        <w:t xml:space="preserve">Understanding calculated column vs. measure: </w:t>
      </w:r>
      <w:r>
        <w:rPr>
          <w:sz w:val="22"/>
          <w:szCs w:val="22"/>
        </w:rPr>
        <w:t xml:space="preserve">This was the biggest conceptual hurdle. A calculated column is computed once per row and stored in the table (good for something like Waittime Status, which depends only on that row's own wait time). A measure is computed on the fly depending on whatever filter context is applied by the visual (good for something like average wait time or total patients, which needs to change depending on the slicer/filter selection). Mixing these up early on gave me wrong or static-looking numbers until I understood the difference properly.</w:t>
      </w:r>
    </w:p>
    <w:p>
      <w:pPr>
        <w:pStyle w:val="ListParagraph"/>
        <w:numPr>
          <w:ilvl w:val="0"/>
          <w:numId w:val="1"/>
        </w:numPr>
        <w:spacing w:after="90" w:line="290"/>
      </w:pPr>
      <w:r>
        <w:rPr>
          <w:b/>
          <w:bCs/>
          <w:sz w:val="22"/>
          <w:szCs w:val="22"/>
        </w:rPr>
        <w:t xml:space="preserve">Getting "No. of Patients" to count correctly: </w:t>
      </w:r>
      <w:r>
        <w:rPr>
          <w:sz w:val="22"/>
          <w:szCs w:val="22"/>
        </w:rPr>
        <w:t xml:space="preserve">Since the dataset has one row per visit, a simple SUM wasn't right — I needed a measure that properly counts patient visits (and, in places, a distinct count so the same patient wasn't counted twice for the Patient Details page). Realizing when to use COUNT vs. DISTINCTCOUNT was a useful concept to lock in.</w:t>
      </w:r>
    </w:p>
    <w:p>
      <w:pPr>
        <w:pStyle w:val="ListParagraph"/>
        <w:numPr>
          <w:ilvl w:val="0"/>
          <w:numId w:val="1"/>
        </w:numPr>
        <w:spacing w:after="90" w:line="290"/>
      </w:pPr>
      <w:r>
        <w:rPr>
          <w:b/>
          <w:bCs/>
          <w:sz w:val="22"/>
          <w:szCs w:val="22"/>
        </w:rPr>
        <w:t xml:space="preserve">Aggregating Avg Wait Time and Satisfaction Score cleanly: </w:t>
      </w:r>
      <w:r>
        <w:rPr>
          <w:sz w:val="22"/>
          <w:szCs w:val="22"/>
        </w:rPr>
        <w:t xml:space="preserve">These needed measures (not just "summarize as average" on the column) so that the number recalculates correctly with every slicer/filter change on the page, instead of always showing one fixed average for the whole dataset. I also had to watch out for blank/null values skewing the average.</w:t>
      </w:r>
    </w:p>
    <w:p>
      <w:pPr>
        <w:pStyle w:val="ListParagraph"/>
        <w:numPr>
          <w:ilvl w:val="0"/>
          <w:numId w:val="1"/>
        </w:numPr>
        <w:spacing w:after="90" w:line="290"/>
      </w:pPr>
      <w:r>
        <w:rPr>
          <w:b/>
          <w:bCs/>
          <w:sz w:val="22"/>
          <w:szCs w:val="22"/>
        </w:rPr>
        <w:t xml:space="preserve">Keeping new measures consistent across both KPI-style pages: </w:t>
      </w:r>
      <w:r>
        <w:rPr>
          <w:sz w:val="22"/>
          <w:szCs w:val="22"/>
        </w:rPr>
        <w:t xml:space="preserve">Since Monthly View and Consolidated View both use the same underlying measures but display them differently (day-wise trend vs. month-wise summary), I made sure to build each measure once and reuse it everywhere, rather than creating slightly different versions per page — otherwise the two pages could quietly show different numbers for the "same" KPI.</w:t>
      </w:r>
    </w:p>
    <w:p>
      <w:pPr>
        <w:pStyle w:val="ListParagraph"/>
        <w:numPr>
          <w:ilvl w:val="0"/>
          <w:numId w:val="1"/>
        </w:numPr>
        <w:spacing w:after="90" w:line="290"/>
      </w:pPr>
      <w:r>
        <w:rPr>
          <w:b/>
          <w:bCs/>
          <w:sz w:val="22"/>
          <w:szCs w:val="22"/>
        </w:rPr>
        <w:t xml:space="preserve">Donut chart colors clashing: </w:t>
      </w:r>
      <w:r>
        <w:rPr>
          <w:sz w:val="22"/>
          <w:szCs w:val="22"/>
        </w:rPr>
        <w:t xml:space="preserve">The default color palette made some categories hard to tell apart. I picked colors manually per category (data colors formatting) so each slice is distinct and consistent across pages.</w:t>
      </w:r>
    </w:p>
    <w:p>
      <w:pPr>
        <w:pStyle w:val="ListParagraph"/>
        <w:numPr>
          <w:ilvl w:val="0"/>
          <w:numId w:val="1"/>
        </w:numPr>
        <w:spacing w:after="90" w:line="290"/>
      </w:pPr>
      <w:r>
        <w:rPr>
          <w:b/>
          <w:bCs/>
          <w:sz w:val="22"/>
          <w:szCs w:val="22"/>
        </w:rPr>
        <w:t xml:space="preserve">Matrix readability: </w:t>
      </w:r>
      <w:r>
        <w:rPr>
          <w:sz w:val="22"/>
          <w:szCs w:val="22"/>
        </w:rPr>
        <w:t xml:space="preserve">The Waittime Interval matrix was cluttered at first with too many nested rows. I simplified it by limiting it to the key dimensions (Waittime Interval x Day Name x No. of Patients) instead of adding every possible field.</w:t>
      </w:r>
    </w:p>
    <w:p>
      <w:pPr>
        <w:pStyle w:val="Heading1"/>
        <w:pBdr>
          <w:bottom w:val="single" w:color="118DFF" w:sz="6" w:space="4"/>
        </w:pBdr>
        <w:spacing w:after="160" w:before="360"/>
      </w:pPr>
      <w:r>
        <w:rPr>
          <w:b/>
          <w:bCs/>
          <w:color w:val="1F3864"/>
          <w:sz w:val="30"/>
          <w:szCs w:val="30"/>
        </w:rPr>
        <w:t xml:space="preserve">7. Key Concepts Worth Remembering</w:t>
      </w:r>
    </w:p>
    <w:p>
      <w:pPr>
        <w:spacing w:after="160" w:line="300"/>
      </w:pPr>
      <w:r>
        <w:rPr>
          <w:sz w:val="22"/>
          <w:szCs w:val="22"/>
        </w:rPr>
        <w:t xml:space="preserve">Some Power BI concepts I used or re-learned while building this, noted here so I don't forget them:</w:t>
      </w:r>
    </w:p>
    <w:p>
      <w:pPr>
        <w:pStyle w:val="ListParagraph"/>
        <w:numPr>
          <w:ilvl w:val="0"/>
          <w:numId w:val="1"/>
        </w:numPr>
        <w:spacing w:after="90" w:line="290"/>
      </w:pPr>
      <w:r>
        <w:rPr>
          <w:b/>
          <w:bCs/>
          <w:sz w:val="22"/>
          <w:szCs w:val="22"/>
        </w:rPr>
        <w:t xml:space="preserve">Fact table vs. Dimension table: </w:t>
      </w:r>
      <w:r>
        <w:rPr>
          <w:sz w:val="22"/>
          <w:szCs w:val="22"/>
        </w:rPr>
        <w:t xml:space="preserve">The Hospital ER_Data table is the fact table (it holds the transactional/event-level data — one row per patient visit). The Date Table is a dimension table — it describes/slices the fact table but doesn't hold measures itself.</w:t>
      </w:r>
    </w:p>
    <w:p>
      <w:pPr>
        <w:pStyle w:val="ListParagraph"/>
        <w:numPr>
          <w:ilvl w:val="0"/>
          <w:numId w:val="1"/>
        </w:numPr>
        <w:spacing w:after="90" w:line="290"/>
      </w:pPr>
      <w:r>
        <w:rPr>
          <w:b/>
          <w:bCs/>
          <w:sz w:val="22"/>
          <w:szCs w:val="22"/>
        </w:rPr>
        <w:t xml:space="preserve">Star schema: </w:t>
      </w:r>
      <w:r>
        <w:rPr>
          <w:sz w:val="22"/>
          <w:szCs w:val="22"/>
        </w:rPr>
        <w:t xml:space="preserve">A modeling pattern where one central fact table connects to multiple dimension tables (like Date Table) through one-to-many relationships. This report follows a simple star schema with the ER data as the fact table.</w:t>
      </w:r>
    </w:p>
    <w:p>
      <w:pPr>
        <w:pStyle w:val="ListParagraph"/>
        <w:numPr>
          <w:ilvl w:val="0"/>
          <w:numId w:val="1"/>
        </w:numPr>
        <w:spacing w:after="90" w:line="290"/>
      </w:pPr>
      <w:r>
        <w:rPr>
          <w:b/>
          <w:bCs/>
          <w:sz w:val="22"/>
          <w:szCs w:val="22"/>
        </w:rPr>
        <w:t xml:space="preserve">Measure vs. Column: </w:t>
      </w:r>
      <w:r>
        <w:rPr>
          <w:sz w:val="22"/>
          <w:szCs w:val="22"/>
        </w:rPr>
        <w:t xml:space="preserve">A column is stored data (e.g., Patient Gender). A measure is a calculation done on the fly using DAX (e.g., SUM of Patient Waittime, or a % share). Cards and charts here use a mix of raw aggregated columns (Sum/Average applied through the visual) and calculated measures.</w:t>
      </w:r>
    </w:p>
    <w:p>
      <w:pPr>
        <w:pStyle w:val="ListParagraph"/>
        <w:numPr>
          <w:ilvl w:val="0"/>
          <w:numId w:val="1"/>
        </w:numPr>
        <w:spacing w:after="90" w:line="290"/>
      </w:pPr>
      <w:r>
        <w:rPr>
          <w:b/>
          <w:bCs/>
          <w:sz w:val="22"/>
          <w:szCs w:val="22"/>
        </w:rPr>
        <w:t xml:space="preserve">Date Table best practice: </w:t>
      </w:r>
      <w:r>
        <w:rPr>
          <w:sz w:val="22"/>
          <w:szCs w:val="22"/>
        </w:rPr>
        <w:t xml:space="preserve">Always use a dedicated, marked "Date Table" for time intelligence instead of relying directly on a date column inside the fact table — it keeps all time-based visuals consistent and enables hierarchy drill-down (Year &gt; Quarter &gt; Month &gt; Day).</w:t>
      </w:r>
    </w:p>
    <w:p>
      <w:pPr>
        <w:pStyle w:val="ListParagraph"/>
        <w:numPr>
          <w:ilvl w:val="0"/>
          <w:numId w:val="1"/>
        </w:numPr>
        <w:spacing w:after="90" w:line="290"/>
      </w:pPr>
      <w:r>
        <w:rPr>
          <w:b/>
          <w:bCs/>
          <w:sz w:val="22"/>
          <w:szCs w:val="22"/>
        </w:rPr>
        <w:t xml:space="preserve">Slicer vs. Filter pane: </w:t>
      </w:r>
      <w:r>
        <w:rPr>
          <w:sz w:val="22"/>
          <w:szCs w:val="22"/>
        </w:rPr>
        <w:t xml:space="preserve">A slicer is a visible, on-canvas visual that end-users can interact with directly (used here for Year/Month/Date). A filter (in the Filters pane) is usually set by the report author and is less visible to the end user.</w:t>
      </w:r>
    </w:p>
    <w:p>
      <w:pPr>
        <w:pStyle w:val="ListParagraph"/>
        <w:numPr>
          <w:ilvl w:val="0"/>
          <w:numId w:val="1"/>
        </w:numPr>
        <w:spacing w:after="90" w:line="290"/>
      </w:pPr>
      <w:r>
        <w:rPr>
          <w:b/>
          <w:bCs/>
          <w:sz w:val="22"/>
          <w:szCs w:val="22"/>
        </w:rPr>
        <w:t xml:space="preserve">Cross-filtering / interactivity: </w:t>
      </w:r>
      <w:r>
        <w:rPr>
          <w:sz w:val="22"/>
          <w:szCs w:val="22"/>
        </w:rPr>
        <w:t xml:space="preserve">By default, clicking on one visual filters the others on the same page — this is what makes the dashboard feel interactive rather than static.</w:t>
      </w:r>
    </w:p>
    <w:p>
      <w:pPr>
        <w:pStyle w:val="ListParagraph"/>
        <w:numPr>
          <w:ilvl w:val="0"/>
          <w:numId w:val="1"/>
        </w:numPr>
        <w:spacing w:after="90" w:line="290"/>
      </w:pPr>
      <w:r>
        <w:rPr>
          <w:b/>
          <w:bCs/>
          <w:sz w:val="22"/>
          <w:szCs w:val="22"/>
        </w:rPr>
        <w:t xml:space="preserve">Drill-down hierarchy: </w:t>
      </w:r>
      <w:r>
        <w:rPr>
          <w:sz w:val="22"/>
          <w:szCs w:val="22"/>
        </w:rPr>
        <w:t xml:space="preserve">Built into the Date Table's Date Hierarchy field (Year → Quarter → Month → Day), which lets a user click to zoom from a yearly view down to a daily view on the same chart.</w:t>
      </w:r>
    </w:p>
    <w:p>
      <w:pPr>
        <w:pStyle w:val="ListParagraph"/>
        <w:numPr>
          <w:ilvl w:val="0"/>
          <w:numId w:val="1"/>
        </w:numPr>
        <w:spacing w:after="90" w:line="290"/>
      </w:pPr>
      <w:r>
        <w:rPr>
          <w:b/>
          <w:bCs/>
          <w:sz w:val="22"/>
          <w:szCs w:val="22"/>
        </w:rPr>
        <w:t xml:space="preserve">Card visual: </w:t>
      </w:r>
      <w:r>
        <w:rPr>
          <w:sz w:val="22"/>
          <w:szCs w:val="22"/>
        </w:rPr>
        <w:t xml:space="preserve">Best for single, high-importance KPIs that need to be seen instantly without any chart — used for the 4 top numbers on this report.</w:t>
      </w:r>
    </w:p>
    <w:p>
      <w:pPr>
        <w:pStyle w:val="ListParagraph"/>
        <w:numPr>
          <w:ilvl w:val="0"/>
          <w:numId w:val="1"/>
        </w:numPr>
        <w:spacing w:after="90" w:line="290"/>
      </w:pPr>
      <w:r>
        <w:rPr>
          <w:b/>
          <w:bCs/>
          <w:sz w:val="22"/>
          <w:szCs w:val="22"/>
        </w:rPr>
        <w:t xml:space="preserve">Donut vs. Pie chart: </w:t>
      </w:r>
      <w:r>
        <w:rPr>
          <w:sz w:val="22"/>
          <w:szCs w:val="22"/>
        </w:rPr>
        <w:t xml:space="preserve">Both show part-to-whole relationships; a donut chart was chosen here mainly for a cleaner, more modern look and because the centre space can optionally hold a total.</w:t>
      </w:r>
    </w:p>
    <w:p>
      <w:pPr>
        <w:pStyle w:val="ListParagraph"/>
        <w:numPr>
          <w:ilvl w:val="0"/>
          <w:numId w:val="1"/>
        </w:numPr>
        <w:spacing w:after="90" w:line="290"/>
      </w:pPr>
      <w:r>
        <w:rPr>
          <w:b/>
          <w:bCs/>
          <w:sz w:val="22"/>
          <w:szCs w:val="22"/>
        </w:rPr>
        <w:t xml:space="preserve">Matrix visual: </w:t>
      </w:r>
      <w:r>
        <w:rPr>
          <w:sz w:val="22"/>
          <w:szCs w:val="22"/>
        </w:rPr>
        <w:t xml:space="preserve">Power BI's version of a pivot table — lets you cross-tabulate two or more categorical fields against a measure, with expandable rows/columns.</w:t>
      </w:r>
    </w:p>
    <w:p>
      <w:pPr>
        <w:pStyle w:val="ListParagraph"/>
        <w:numPr>
          <w:ilvl w:val="0"/>
          <w:numId w:val="1"/>
        </w:numPr>
        <w:spacing w:after="90" w:line="290"/>
      </w:pPr>
      <w:r>
        <w:rPr>
          <w:b/>
          <w:bCs/>
          <w:sz w:val="22"/>
          <w:szCs w:val="22"/>
        </w:rPr>
        <w:t xml:space="preserve">Bookmarks / Page Navigator: </w:t>
      </w:r>
      <w:r>
        <w:rPr>
          <w:sz w:val="22"/>
          <w:szCs w:val="22"/>
        </w:rPr>
        <w:t xml:space="preserve">The Page Navigator visual auto-generates buttons for each report page, making navigation simpler than relying on the page tabs at the bottom.</w:t>
      </w:r>
    </w:p>
    <w:p>
      <w:pPr>
        <w:pStyle w:val="ListParagraph"/>
        <w:numPr>
          <w:ilvl w:val="0"/>
          <w:numId w:val="1"/>
        </w:numPr>
        <w:spacing w:after="90" w:line="290"/>
      </w:pPr>
      <w:r>
        <w:rPr>
          <w:b/>
          <w:bCs/>
          <w:sz w:val="22"/>
          <w:szCs w:val="22"/>
        </w:rPr>
        <w:t xml:space="preserve">Theme (in Power BI): </w:t>
      </w:r>
      <w:r>
        <w:rPr>
          <w:sz w:val="22"/>
          <w:szCs w:val="22"/>
        </w:rPr>
        <w:t xml:space="preserve">A JSON-based color and font definition applied report-wide, so all visuals stay visually consistent without formatting each one individually from scratch.</w:t>
      </w:r>
    </w:p>
    <w:p>
      <w:pPr>
        <w:pStyle w:val="Heading1"/>
        <w:pBdr>
          <w:bottom w:val="single" w:color="118DFF" w:sz="6" w:space="4"/>
        </w:pBdr>
        <w:spacing w:after="160" w:before="360"/>
      </w:pPr>
      <w:r>
        <w:rPr>
          <w:b/>
          <w:bCs/>
          <w:color w:val="1F3864"/>
          <w:sz w:val="30"/>
          <w:szCs w:val="30"/>
        </w:rPr>
        <w:t xml:space="preserve">8. Learnings &amp; Next Steps</w:t>
      </w:r>
    </w:p>
    <w:p>
      <w:pPr>
        <w:pStyle w:val="ListParagraph"/>
        <w:numPr>
          <w:ilvl w:val="0"/>
          <w:numId w:val="1"/>
        </w:numPr>
        <w:spacing w:after="90" w:line="290"/>
      </w:pPr>
      <w:r>
        <w:rPr>
          <w:sz w:val="22"/>
          <w:szCs w:val="22"/>
        </w:rPr>
        <w:t xml:space="preserve">Building the Date Table relationship early made every later visual much easier — I'd start every future dashboard by setting this up first.</w:t>
      </w:r>
    </w:p>
    <w:p>
      <w:pPr>
        <w:pStyle w:val="ListParagraph"/>
        <w:numPr>
          <w:ilvl w:val="0"/>
          <w:numId w:val="1"/>
        </w:numPr>
        <w:spacing w:after="90" w:line="290"/>
      </w:pPr>
      <w:r>
        <w:rPr>
          <w:sz w:val="22"/>
          <w:szCs w:val="22"/>
        </w:rPr>
        <w:t xml:space="preserve">Consistent formatting (same card size/spacing across pages) makes a huge visual difference and is worth the extra time.</w:t>
      </w:r>
    </w:p>
    <w:p>
      <w:pPr>
        <w:pStyle w:val="ListParagraph"/>
        <w:numPr>
          <w:ilvl w:val="0"/>
          <w:numId w:val="1"/>
        </w:numPr>
        <w:spacing w:after="90" w:line="290"/>
      </w:pPr>
      <w:r>
        <w:rPr>
          <w:sz w:val="22"/>
          <w:szCs w:val="22"/>
        </w:rPr>
        <w:t xml:space="preserve">Next, I'd like to add DAX measures for month-over-month growth % and a proper tooltip page for deeper context on hover.</w:t>
      </w:r>
    </w:p>
    <w:p>
      <w:pPr>
        <w:pStyle w:val="ListParagraph"/>
        <w:numPr>
          <w:ilvl w:val="0"/>
          <w:numId w:val="1"/>
        </w:numPr>
        <w:spacing w:after="90" w:line="290"/>
      </w:pPr>
      <w:r>
        <w:rPr>
          <w:sz w:val="22"/>
          <w:szCs w:val="22"/>
        </w:rPr>
        <w:t xml:space="preserve">I'd also like to explore adding a KPI target/goal comparison (e.g., a target wait time) using conditional formatting.</w:t>
      </w:r>
    </w:p>
    <w:p>
      <w:pPr>
        <w:pStyle w:val="Heading1"/>
        <w:pBdr>
          <w:bottom w:val="single" w:color="118DFF" w:sz="6" w:space="4"/>
        </w:pBdr>
        <w:spacing w:after="160" w:before="360"/>
      </w:pPr>
      <w:r>
        <w:rPr>
          <w:b/>
          <w:bCs/>
          <w:color w:val="1F3864"/>
          <w:sz w:val="30"/>
          <w:szCs w:val="30"/>
        </w:rPr>
        <w:t xml:space="preserve">9. Summary</w:t>
      </w:r>
    </w:p>
    <w:p>
      <w:pPr>
        <w:spacing w:after="160" w:line="300"/>
      </w:pPr>
      <w:r>
        <w:rPr>
          <w:sz w:val="22"/>
          <w:szCs w:val="22"/>
        </w:rPr>
        <w:t xml:space="preserve">This project helped me practice the full Power BI workflow — from setting up a clean data model with a proper date table, to designing multiple report pages that each serve a different purpose (trend view, summary view, detail view, and takeaways), to fine-tuning visual formatting so the report looks professional and consistent. It's a good foundation that I can reuse as a template for future dashboards during my internship.</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5E5C"/>
        <w:sz w:val="16"/>
        <w:szCs w:val="16"/>
      </w:rPr>
      <w:t xml:space="preserve">Page </w:t>
    </w:r>
    <w:r>
      <w:rPr>
        <w:color w:val="605E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05E5C"/>
        <w:sz w:val="16"/>
        <w:szCs w:val="16"/>
      </w:rPr>
      <w:t xml:space="preserve">Hospital ER Dashboard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2026-07-06T04:33:14.323Z</dcterms:created>
  <dcterms:modified xsi:type="dcterms:W3CDTF">2026-07-06T04:33:14.341Z</dcterms:modified>
</cp:coreProperties>
</file>

<file path=docProps/custom.xml><?xml version="1.0" encoding="utf-8"?>
<Properties xmlns="http://schemas.openxmlformats.org/officeDocument/2006/custom-properties" xmlns:vt="http://schemas.openxmlformats.org/officeDocument/2006/docPropsVTypes"/>
</file>