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650"/>
        <w:gridCol w:w="1650"/>
        <w:gridCol w:w="1650"/>
        <w:gridCol w:w="1650"/>
      </w:tblGrid>
      <w:tr>
        <w:trPr>
          <w:tblHeader/>
        </w:trP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4000"/>
      </w:tblGrid>
      <w:tr>
        <w:trPr>
          <w:tblHeader/>
        </w:trP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Talent Acquisition™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3335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335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RATE SHEET</w:t>
          </w:r>
        </w:p>
      </w:tc>
    </w:tr>
  </w:tbl>
  <w:p>
    <w:pPr>
      <w:pBdr>
        <w:bottom w:val="single" w:color="FCD20E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bc1febaac0a91579c084176f45a8c0edd35b21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Talent Acquisition rate sheet</dc:title>
  <dc:creator>Spark Talent Acquisition</dc:creator>
  <dc:description>Branded rate sheet template</dc:description>
  <cp:lastModifiedBy>Un-named</cp:lastModifiedBy>
  <cp:revision>1</cp:revision>
  <dcterms:created xsi:type="dcterms:W3CDTF">2026-10-22T10:50:33.120Z</dcterms:created>
  <dcterms:modified xsi:type="dcterms:W3CDTF">2026-10-22T10:50:33.121Z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