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736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Bolt Creative, 901 Wilshire Dr., Suite 585, Troy, MI 48084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recognize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40"/>
        <w:gridCol w:w="2340"/>
      </w:tblGrid>
      <w:tr>
        <w:trPr>
          <w:tblHeader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3110"/>
        <w:gridCol w:w="2350"/>
      </w:tblGrid>
      <w:tr>
        <w:trPr>
          <w:tblHeader/>
        </w:trP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6FF3D" w:sz="4"/>
              <w:right w:val="none" w:color="FFFFFF" w:sz="0"/>
            </w:tcBorders>
            <w:shd w:fill="C6FF3D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authorizes the work described above. Everything else — confidentiality, insurance, liability, indemnity, termination — is governed by the agreement named at the top of this page.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Bolt Creative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Bolt Creative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295275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STATEMENT OF WORK</w:t>
    </w:r>
  </w:p>
  <w:p>
    <w:pPr>
      <w:pBdr>
        <w:bottom w:val="single" w:color="C6FF3D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cedbf5b44fc3f60bcd0f74ed2ab7a6a149604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Bolt Creative statement of work</dc:title>
  <dc:creator>Bolt Creative</dc:creator>
  <dc:description>Statement of work template</dc:description>
  <cp:lastModifiedBy>Un-named</cp:lastModifiedBy>
  <cp:revision>1</cp:revision>
  <dcterms:created xsi:type="dcterms:W3CDTF">2026-10-22T16:39:32.542Z</dcterms:created>
  <dcterms:modified xsi:type="dcterms:W3CDTF">2026-10-22T16:39:32.542Z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