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Kicker"/>
      </w:pPr>
      <w:r>
        <w:t xml:space="preserve">[CLIENT NAME]  ·  PREPARED BY [YOUR NAME]  ·  EFFECTIVE [DATE]</w:t>
      </w:r>
    </w:p>
    <w:p>
      <w:pPr>
        <w:pStyle w:val="Title"/>
      </w:pPr>
      <w:r>
        <w:t xml:space="preserve">Contract rates</w:t>
      </w:r>
    </w:p>
    <w:p>
      <w:pPr>
        <w:pStyle w:val="Lede"/>
      </w:pPr>
      <w:r>
        <w:t xml:space="preserve">Rates below are for the roles we discussed. Anything not listed, ask and we will quote it — do not guess a markup on the fly.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60"/>
        <w:gridCol w:w="1605"/>
        <w:gridCol w:w="1605"/>
        <w:gridCol w:w="1605"/>
        <w:gridCol w:w="1605"/>
      </w:tblGrid>
      <w:tr>
        <w:trPr>
          <w:tblHeader/>
        </w:trPr>
        <w:tc>
          <w:tcPr>
            <w:tcW w:type="dxa" w:w="3660"/>
            <w:tcBorders>
              <w:top w:val="none" w:color="FFFFFF" w:sz="0"/>
              <w:left w:val="none" w:color="FFFFFF" w:sz="0"/>
              <w:bottom w:val="single" w:color="F2D216" w:sz="4"/>
              <w:right w:val="none" w:color="FFFFFF" w:sz="0"/>
            </w:tcBorders>
            <w:shd w:fill="F2D21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/>
                <w:bCs/>
                <w:color w:val="17150D"/>
                <w:spacing w:val="30"/>
                <w:sz w:val="16"/>
                <w:szCs w:val="16"/>
              </w:rPr>
              <w:t xml:space="preserve">ROLE</w:t>
            </w:r>
          </w:p>
        </w:tc>
        <w:tc>
          <w:tcPr>
            <w:tcW w:type="dxa" w:w="1605"/>
            <w:tcBorders>
              <w:top w:val="none" w:color="FFFFFF" w:sz="0"/>
              <w:left w:val="none" w:color="FFFFFF" w:sz="0"/>
              <w:bottom w:val="single" w:color="F2D216" w:sz="4"/>
              <w:right w:val="none" w:color="FFFFFF" w:sz="0"/>
            </w:tcBorders>
            <w:shd w:fill="F2D21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/>
                <w:bCs/>
                <w:color w:val="17150D"/>
                <w:spacing w:val="30"/>
                <w:sz w:val="16"/>
                <w:szCs w:val="16"/>
              </w:rPr>
              <w:t xml:space="preserve">PAY RATE</w:t>
            </w:r>
          </w:p>
        </w:tc>
        <w:tc>
          <w:tcPr>
            <w:tcW w:type="dxa" w:w="1605"/>
            <w:tcBorders>
              <w:top w:val="none" w:color="FFFFFF" w:sz="0"/>
              <w:left w:val="none" w:color="FFFFFF" w:sz="0"/>
              <w:bottom w:val="single" w:color="F2D216" w:sz="4"/>
              <w:right w:val="none" w:color="FFFFFF" w:sz="0"/>
            </w:tcBorders>
            <w:shd w:fill="F2D21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/>
                <w:bCs/>
                <w:color w:val="17150D"/>
                <w:spacing w:val="30"/>
                <w:sz w:val="16"/>
                <w:szCs w:val="16"/>
              </w:rPr>
              <w:t xml:space="preserve">BILL RATE</w:t>
            </w:r>
          </w:p>
        </w:tc>
        <w:tc>
          <w:tcPr>
            <w:tcW w:type="dxa" w:w="1605"/>
            <w:tcBorders>
              <w:top w:val="none" w:color="FFFFFF" w:sz="0"/>
              <w:left w:val="none" w:color="FFFFFF" w:sz="0"/>
              <w:bottom w:val="single" w:color="F2D216" w:sz="4"/>
              <w:right w:val="none" w:color="FFFFFF" w:sz="0"/>
            </w:tcBorders>
            <w:shd w:fill="F2D21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/>
                <w:bCs/>
                <w:color w:val="17150D"/>
                <w:spacing w:val="30"/>
                <w:sz w:val="16"/>
                <w:szCs w:val="16"/>
              </w:rPr>
              <w:t xml:space="preserve">MARKUP</w:t>
            </w:r>
          </w:p>
        </w:tc>
        <w:tc>
          <w:tcPr>
            <w:tcW w:type="dxa" w:w="1605"/>
            <w:tcBorders>
              <w:top w:val="none" w:color="FFFFFF" w:sz="0"/>
              <w:left w:val="none" w:color="FFFFFF" w:sz="0"/>
              <w:bottom w:val="single" w:color="F2D216" w:sz="4"/>
              <w:right w:val="none" w:color="FFFFFF" w:sz="0"/>
            </w:tcBorders>
            <w:shd w:fill="F2D21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/>
                <w:bCs/>
                <w:color w:val="17150D"/>
                <w:spacing w:val="30"/>
                <w:sz w:val="16"/>
                <w:szCs w:val="16"/>
              </w:rPr>
              <w:t xml:space="preserve">OT BILL</w:t>
            </w:r>
          </w:p>
        </w:tc>
      </w:tr>
      <w:tr>
        <w:tc>
          <w:tcPr>
            <w:tcW w:type="dxa" w:w="366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[Role]</w:t>
            </w:r>
          </w:p>
        </w:tc>
        <w:tc>
          <w:tcPr>
            <w:tcW w:type="dxa" w:w="1605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$00.00</w:t>
            </w:r>
          </w:p>
        </w:tc>
        <w:tc>
          <w:tcPr>
            <w:tcW w:type="dxa" w:w="1605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$00.00</w:t>
            </w:r>
          </w:p>
        </w:tc>
        <w:tc>
          <w:tcPr>
            <w:tcW w:type="dxa" w:w="1605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00%</w:t>
            </w:r>
          </w:p>
        </w:tc>
        <w:tc>
          <w:tcPr>
            <w:tcW w:type="dxa" w:w="1605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$00.00</w:t>
            </w:r>
          </w:p>
        </w:tc>
      </w:tr>
      <w:tr>
        <w:tc>
          <w:tcPr>
            <w:tcW w:type="dxa" w:w="366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[Role]</w:t>
            </w:r>
          </w:p>
        </w:tc>
        <w:tc>
          <w:tcPr>
            <w:tcW w:type="dxa" w:w="1605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$00.00</w:t>
            </w:r>
          </w:p>
        </w:tc>
        <w:tc>
          <w:tcPr>
            <w:tcW w:type="dxa" w:w="1605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$00.00</w:t>
            </w:r>
          </w:p>
        </w:tc>
        <w:tc>
          <w:tcPr>
            <w:tcW w:type="dxa" w:w="1605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00%</w:t>
            </w:r>
          </w:p>
        </w:tc>
        <w:tc>
          <w:tcPr>
            <w:tcW w:type="dxa" w:w="1605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$00.00</w:t>
            </w:r>
          </w:p>
        </w:tc>
      </w:tr>
      <w:tr>
        <w:tc>
          <w:tcPr>
            <w:tcW w:type="dxa" w:w="366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[Role]</w:t>
            </w:r>
          </w:p>
        </w:tc>
        <w:tc>
          <w:tcPr>
            <w:tcW w:type="dxa" w:w="1605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$00.00</w:t>
            </w:r>
          </w:p>
        </w:tc>
        <w:tc>
          <w:tcPr>
            <w:tcW w:type="dxa" w:w="1605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$00.00</w:t>
            </w:r>
          </w:p>
        </w:tc>
        <w:tc>
          <w:tcPr>
            <w:tcW w:type="dxa" w:w="1605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00%</w:t>
            </w:r>
          </w:p>
        </w:tc>
        <w:tc>
          <w:tcPr>
            <w:tcW w:type="dxa" w:w="1605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$00.00</w:t>
            </w:r>
          </w:p>
        </w:tc>
      </w:tr>
      <w:tr>
        <w:tc>
          <w:tcPr>
            <w:tcW w:type="dxa" w:w="366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[Role]</w:t>
            </w:r>
          </w:p>
        </w:tc>
        <w:tc>
          <w:tcPr>
            <w:tcW w:type="dxa" w:w="1605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$00.00</w:t>
            </w:r>
          </w:p>
        </w:tc>
        <w:tc>
          <w:tcPr>
            <w:tcW w:type="dxa" w:w="1605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$00.00</w:t>
            </w:r>
          </w:p>
        </w:tc>
        <w:tc>
          <w:tcPr>
            <w:tcW w:type="dxa" w:w="1605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00%</w:t>
            </w:r>
          </w:p>
        </w:tc>
        <w:tc>
          <w:tcPr>
            <w:tcW w:type="dxa" w:w="1605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$00.00</w:t>
            </w:r>
          </w:p>
        </w:tc>
      </w:tr>
    </w:tbl>
    <w:p>
      <w:pPr>
        <w:pStyle w:val="Heading1"/>
      </w:pPr>
      <w:r>
        <w:t xml:space="preserve">What the bill rate covers</w:t>
      </w:r>
    </w:p>
    <w:p>
      <w:pPr>
        <w:pStyle w:val="Body"/>
      </w:pPr>
      <w:r>
        <w:t xml:space="preserve">Recruiting and screening, payroll funding and processing, employer payroll taxes, workers’ compensation, unemployment insurance, general liability, and day-to-day account management. The client is billed one rate; everything above sits inside it.</w:t>
      </w:r>
    </w:p>
    <w:p>
      <w:pPr>
        <w:pStyle w:val="Heading1"/>
      </w:pPr>
      <w:r>
        <w:t xml:space="preserve">Conversion</w:t>
      </w:r>
    </w:p>
    <w:p>
      <w:pPr>
        <w:pStyle w:val="Body"/>
      </w:pPr>
      <w:r>
        <w:t xml:space="preserve">A contractor can be hired directly at any point. The fee drops the longer they have worked on assignment.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180"/>
        <w:gridCol w:w="3900"/>
      </w:tblGrid>
      <w:tr>
        <w:trPr>
          <w:tblHeader/>
        </w:trPr>
        <w:tc>
          <w:tcPr>
            <w:tcW w:type="dxa" w:w="6180"/>
            <w:tcBorders>
              <w:top w:val="none" w:color="FFFFFF" w:sz="0"/>
              <w:left w:val="none" w:color="FFFFFF" w:sz="0"/>
              <w:bottom w:val="single" w:color="F2D216" w:sz="4"/>
              <w:right w:val="none" w:color="FFFFFF" w:sz="0"/>
            </w:tcBorders>
            <w:shd w:fill="F2D21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/>
                <w:bCs/>
                <w:color w:val="17150D"/>
                <w:spacing w:val="30"/>
                <w:sz w:val="16"/>
                <w:szCs w:val="16"/>
              </w:rPr>
              <w:t xml:space="preserve">HOURS WORKED ON ASSIGNMENT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single" w:color="F2D216" w:sz="4"/>
              <w:right w:val="none" w:color="FFFFFF" w:sz="0"/>
            </w:tcBorders>
            <w:shd w:fill="F2D21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/>
                <w:bCs/>
                <w:color w:val="17150D"/>
                <w:spacing w:val="30"/>
                <w:sz w:val="16"/>
                <w:szCs w:val="16"/>
              </w:rPr>
              <w:t xml:space="preserve">CONVERSION FEE</w:t>
            </w:r>
          </w:p>
        </w:tc>
      </w:tr>
      <w:tr>
        <w:tc>
          <w:tcPr>
            <w:tcW w:type="dxa" w:w="618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0 – 519 hours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00% of annual salary</w:t>
            </w:r>
          </w:p>
        </w:tc>
      </w:tr>
      <w:tr>
        <w:tc>
          <w:tcPr>
            <w:tcW w:type="dxa" w:w="618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520 – 1,039 hours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00% of annual salary</w:t>
            </w:r>
          </w:p>
        </w:tc>
      </w:tr>
      <w:tr>
        <w:tc>
          <w:tcPr>
            <w:tcW w:type="dxa" w:w="618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1,040+ hours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No fee</w:t>
            </w:r>
          </w:p>
        </w:tc>
      </w:tr>
    </w:tbl>
    <w:p>
      <w:pPr>
        <w:pStyle w:val="Heading1"/>
      </w:pPr>
      <w:r>
        <w:t xml:space="preserve">Terms</w:t>
      </w:r>
    </w:p>
    <w:p>
      <w:pPr>
        <w:pStyle w:val="Fine"/>
      </w:pPr>
      <w:r>
        <w:t xml:space="preserve">Quoted rates hold for 30 days from the effective date above.</w:t>
      </w:r>
    </w:p>
    <w:p>
      <w:pPr>
        <w:pStyle w:val="Fine"/>
      </w:pPr>
      <w:r>
        <w:t xml:space="preserve">Overtime bills at 1.5× the straight-time bill rate for hours over 40 in a week. Holiday and premium shifts follow the signed agreement.</w:t>
      </w:r>
    </w:p>
    <w:p>
      <w:pPr>
        <w:pStyle w:val="Fine"/>
      </w:pPr>
      <w:r>
        <w:t xml:space="preserve">Background checks, drug screens and any client-required testing are passed through at cost unless the agreement says otherwise.</w:t>
      </w:r>
    </w:p>
    <w:p>
      <w:pPr>
        <w:pStyle w:val="Fine"/>
      </w:pPr>
      <w:r>
        <w:t xml:space="preserve">Rates assume the shift, location and volume discussed. A change to any of those reopens the rate.</w:t>
      </w:r>
    </w:p>
    <w:p>
      <w:pPr>
        <w:pStyle w:val="Fine"/>
      </w:pPr>
      <w:r>
        <w:t xml:space="preserve">This sheet is a quote, not an agreement. Rates take effect when the service agreement is signed.</w:t>
      </w:r>
    </w:p>
    <w:sectPr>
      <w:headerReference w:type="default" r:id="rId7"/>
      <w:footerReference w:type="default" r:id="rId8"/>
      <w:pgSz w:w="12240" w:h="15840" w:orient="portrait"/>
      <w:pgMar w:top="2050" w:right="1080" w:bottom="1440" w:left="1080" w:header="680" w:footer="4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Century Gothic" w:cs="Century Gothic" w:eastAsia="Century Gothic" w:hAnsi="Century Gothic"/>
        <w:color w:val="6F6A5D"/>
        <w:sz w:val="14"/>
        <w:szCs w:val="14"/>
      </w:rPr>
      <w:t xml:space="preserve">Ignite Search   ·   901 Wilshire Dr., Suite 585, Troy, MI 48084   ·   Page </w:t>
    </w:r>
    <w:r>
      <w:rPr>
        <w:rFonts w:ascii="Century Gothic" w:cs="Century Gothic" w:eastAsia="Century Gothic" w:hAnsi="Century Gothic"/>
        <w:color w:val="6F6A5D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Century Gothic" w:cs="Century Gothic" w:eastAsia="Century Gothic" w:hAnsi="Century Gothic"/>
        <w:color w:val="6F6A5D"/>
        <w:sz w:val="14"/>
        <w:szCs w:val="14"/>
      </w:rPr>
      <w:t xml:space="preserve"> of </w:t>
    </w:r>
    <w:r>
      <w:rPr>
        <w:rFonts w:ascii="Century Gothic" w:cs="Century Gothic" w:eastAsia="Century Gothic" w:hAnsi="Century Gothic"/>
        <w:color w:val="6F6A5D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10080"/>
      </w:tabs>
      <w:spacing w:after="0"/>
    </w:pPr>
    <w:r>
      <w:drawing>
        <wp:inline distT="0" distB="0" distL="0" distR="0">
          <wp:extent cx="1028700" cy="3238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323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rFonts w:ascii="Century Gothic" w:cs="Century Gothic" w:eastAsia="Century Gothic" w:hAnsi="Century Gothic"/>
        <w:b/>
        <w:bCs/>
        <w:color w:val="16140E"/>
        <w:spacing w:val="60"/>
        <w:sz w:val="19"/>
        <w:szCs w:val="19"/>
      </w:rPr>
      <w:t xml:space="preserve">RATE SHEET</w:t>
    </w:r>
  </w:p>
  <w:p>
    <w:pPr>
      <w:pBdr>
        <w:bottom w:val="single" w:color="F2D216" w:sz="10" w:space="2"/>
      </w:pBdr>
      <w:spacing w:after="0" w:before="10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 Gothic" w:cs="Century Gothic" w:eastAsia="Century Gothic" w:hAnsi="Century Gothic"/>
        <w:color w:val="16140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pPr>
      <w:spacing w:after="140"/>
    </w:pPr>
    <w:rPr>
      <w:rFonts w:ascii="Century Gothic" w:cs="Century Gothic" w:eastAsia="Century Gothic" w:hAnsi="Century Gothic"/>
      <w:b/>
      <w:bCs/>
      <w:color w:val="16140E"/>
      <w:spacing w:val="-10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10" w:before="300"/>
    </w:pPr>
    <w:rPr>
      <w:rFonts w:ascii="Century Gothic" w:cs="Century Gothic" w:eastAsia="Century Gothic" w:hAnsi="Century Gothic"/>
      <w:b/>
      <w:bCs/>
      <w:color w:val="16140E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70" w:before="220"/>
    </w:pPr>
    <w:rPr>
      <w:rFonts w:ascii="Century Gothic" w:cs="Century Gothic" w:eastAsia="Century Gothic" w:hAnsi="Century Gothic"/>
      <w:b/>
      <w:bCs/>
      <w:color w:val="16140E"/>
      <w:sz w:val="21"/>
      <w:szCs w:val="21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Kicker">
    <w:name w:val="Kicker"/>
    <w:basedOn w:val="Normal"/>
    <w:next w:val="Normal"/>
    <w:pPr>
      <w:spacing w:after="70"/>
    </w:pPr>
    <w:rPr>
      <w:rFonts w:ascii="Century Gothic" w:cs="Century Gothic" w:eastAsia="Century Gothic" w:hAnsi="Century Gothic"/>
      <w:b/>
      <w:bCs/>
      <w:color w:val="8A6B00"/>
      <w:spacing w:val="60"/>
      <w:sz w:val="16"/>
      <w:szCs w:val="16"/>
    </w:rPr>
  </w:style>
  <w:style w:type="paragraph" w:styleId="Lede">
    <w:name w:val="Lede"/>
    <w:basedOn w:val="Normal"/>
    <w:next w:val="Normal"/>
    <w:pPr>
      <w:spacing w:after="180" w:line="300"/>
    </w:pPr>
    <w:rPr>
      <w:rFonts w:ascii="Century Gothic" w:cs="Century Gothic" w:eastAsia="Century Gothic" w:hAnsi="Century Gothic"/>
      <w:color w:val="6F6A5D"/>
      <w:sz w:val="22"/>
      <w:szCs w:val="22"/>
    </w:rPr>
  </w:style>
  <w:style w:type="paragraph" w:styleId="Body">
    <w:name w:val="Body"/>
    <w:basedOn w:val="Normal"/>
    <w:next w:val="Normal"/>
    <w:pPr>
      <w:spacing w:after="140" w:line="290"/>
    </w:pPr>
    <w:rPr>
      <w:rFonts w:ascii="Century Gothic" w:cs="Century Gothic" w:eastAsia="Century Gothic" w:hAnsi="Century Gothic"/>
      <w:color w:val="16140E"/>
      <w:sz w:val="20"/>
      <w:szCs w:val="20"/>
    </w:rPr>
  </w:style>
  <w:style w:type="paragraph" w:styleId="Fine">
    <w:name w:val="Fine"/>
    <w:basedOn w:val="Normal"/>
    <w:next w:val="Normal"/>
    <w:pPr>
      <w:spacing w:after="80" w:line="260"/>
    </w:pPr>
    <w:rPr>
      <w:rFonts w:ascii="Century Gothic" w:cs="Century Gothic" w:eastAsia="Century Gothic" w:hAnsi="Century Gothic"/>
      <w:color w:val="6F6A5D"/>
      <w:sz w:val="16"/>
      <w:szCs w:val="1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a2c26b1a0b79027de244478f2ec95de768f7e48d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Ignite Search rate sheet</dc:title>
  <dc:creator>Ignite Search</dc:creator>
  <dc:description>Branded rate sheet template</dc:description>
  <cp:lastModifiedBy>Un-named</cp:lastModifiedBy>
  <cp:revision>1</cp:revision>
  <dcterms:created xsi:type="dcterms:W3CDTF">2026-10-22T16:39:29.992Z</dcterms:created>
  <dcterms:modified xsi:type="dcterms:W3CDTF">2026-10-22T16:39:29.993Z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