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gold rule on the left.</w:t>
      </w:r>
    </w:p>
    <w:p>
      <w:pPr>
        <w:pStyle w:val="Heading2"/>
      </w:pPr>
      <w:r>
        <w:t xml:space="preserve">Before you send it</w:t>
      </w:r>
    </w:p>
    <w:p>
      <w:pPr>
        <w:spacing w:after="160" w:line="300"/>
      </w:pPr>
      <w:r>
        <w:t xml:space="preserve">Check that the full name carries the registered mark — Spark Companies®, not Spark on its own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619250"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619250"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FC800"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FC800"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7bfececc10b92a5a352241ab6964f7629421b7ad.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Companies letterhead</dc:title>
  <dc:creator>Spark Companies</dc:creator>
  <dc:description>Branded letterhead template</dc:description>
  <cp:lastModifiedBy>Un-named</cp:lastModifiedBy>
  <cp:revision>1</cp:revision>
  <dcterms:created xsi:type="dcterms:W3CDTF">2026-10-21T22:03:04.014Z</dcterms:created>
  <dcterms:modified xsi:type="dcterms:W3CDTF">2026-10-21T22:03:04.015Z</dcterms:modified>
</cp:coreProperties>
</file>

<file path=docProps/custom.xml><?xml version="1.0" encoding="utf-8"?>
<Properties xmlns="http://schemas.openxmlformats.org/officeDocument/2006/custom-properties" xmlns:vt="http://schemas.openxmlformats.org/officeDocument/2006/docPropsVTypes"/>
</file>