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Talent Acquisition™,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CD20E" w:sz="4"/>
              <w:right w:val="none" w:color="FFFFFF" w:sz="0"/>
            </w:tcBorders>
            <w:shd w:fill="FCD20E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Talent Acquisition™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Talent Acquisition™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3335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335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CD20E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bc1febaac0a91579c084176f45a8c0edd35b21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Talent Acquisition statement of work</dc:title>
  <dc:creator>Spark Talent Acquisition</dc:creator>
  <dc:description>Statement of work template</dc:description>
  <cp:lastModifiedBy>Un-named</cp:lastModifiedBy>
  <cp:revision>1</cp:revision>
  <dcterms:created xsi:type="dcterms:W3CDTF">2026-10-22T15:25:20.045Z</dcterms:created>
  <dcterms:modified xsi:type="dcterms:W3CDTF">2026-10-22T15:25:20.046Z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