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Spark Talent Acquisition™, not Spark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145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CD20E"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CD20E"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c1febaac0a91579c084176f45a8c0edd35b21d.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Talent Acquisition letterhead</dc:title>
  <dc:creator>Spark Talent Acquisition</dc:creator>
  <dc:description>Branded letterhead template</dc:description>
  <cp:lastModifiedBy>Un-named</cp:lastModifiedBy>
  <cp:revision>1</cp:revision>
  <dcterms:created xsi:type="dcterms:W3CDTF">2026-10-22T01:29:26.406Z</dcterms:created>
  <dcterms:modified xsi:type="dcterms:W3CDTF">2026-10-22T01:29:26.406Z</dcterms:modified>
</cp:coreProperties>
</file>

<file path=docProps/custom.xml><?xml version="1.0" encoding="utf-8"?>
<Properties xmlns="http://schemas.openxmlformats.org/officeDocument/2006/custom-properties" xmlns:vt="http://schemas.openxmlformats.org/officeDocument/2006/docPropsVTypes"/>
</file>