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Entab CampusCare – Competitor Deep Dive</w:t>
      </w:r>
    </w:p>
    <w:p>
      <w:pPr>
        <w:pStyle w:val="Heading2"/>
      </w:pPr>
      <w:r>
        <w:t>Company Profile</w:t>
      </w:r>
    </w:p>
    <w:p>
      <w:r>
        <w:t>- Name: Entab Infotech Pvt Ltd.</w:t>
        <w:br/>
        <w:t>- Established: ~2000.</w:t>
        <w:br/>
        <w:t>- Headquarters: New Delhi, India.</w:t>
        <w:br/>
        <w:t>- Focus: School ERP / School Management (K‑12), automating academic, administrative, financial, and communication workflows.</w:t>
      </w:r>
    </w:p>
    <w:p>
      <w:pPr>
        <w:pStyle w:val="Heading2"/>
      </w:pPr>
      <w:r>
        <w:t>Product Offerings</w:t>
      </w:r>
    </w:p>
    <w:p>
      <w:r>
        <w:t>- CampusCare / CampusCare 10X: Full ERP with comprehensive modules (registration, student info, fee mgmt, exams, payroll, transport, library, HR, analytics dashboards).</w:t>
        <w:br/>
        <w:t>- CampusSoft: Off‑the‑shelf ERP for mainstream schools with lighter needs.</w:t>
        <w:br/>
        <w:t>- CampusKidz: Pre‑school / early childhood management system.</w:t>
        <w:br/>
        <w:t>- Mobile apps for parents/students/teachers.</w:t>
        <w:br/>
        <w:t>- Analytics / MIS dashboards.</w:t>
        <w:br/>
        <w:t>- Communication: SMS/email/push notifications.</w:t>
      </w:r>
    </w:p>
    <w:p>
      <w:pPr>
        <w:pStyle w:val="Heading2"/>
      </w:pPr>
      <w:r>
        <w:t>Pricing Model</w:t>
      </w:r>
    </w:p>
    <w:p>
      <w:r>
        <w:t>- SaaS / subscription basis, contracts of 3–5 years.</w:t>
        <w:br/>
        <w:t>- “Pay‑as‑you‑grow” options for CampusCare 10X.</w:t>
        <w:br/>
        <w:t>- Pricing depends on student strength, modules selected, add‑ons (transport, GPS, etc.).</w:t>
        <w:br/>
        <w:t>- Different tiers: CampusCare vs CampusSoft vs CampusKidz.</w:t>
        <w:br/>
        <w:t>- No publicly fixed pricing – customised per school.</w:t>
      </w:r>
    </w:p>
    <w:p>
      <w:pPr>
        <w:pStyle w:val="Heading2"/>
      </w:pPr>
      <w:r>
        <w:t>Geography &amp; Market Presence</w:t>
      </w:r>
    </w:p>
    <w:p>
      <w:r>
        <w:t>- India: strong presence across many states; 1500+ leading schools.</w:t>
        <w:br/>
        <w:t>- Customers across metro and non‑metro regions.</w:t>
        <w:br/>
        <w:t>- International: some presence in Middle East and Africa, though India is the core market.</w:t>
      </w:r>
    </w:p>
    <w:p>
      <w:pPr>
        <w:pStyle w:val="Heading2"/>
      </w:pPr>
      <w:r>
        <w:t>Technology &amp; UX</w:t>
      </w:r>
    </w:p>
    <w:p>
      <w:r>
        <w:t>- Stack: Microsoft SQL Server, web‑based, cloud‑hosted.</w:t>
        <w:br/>
        <w:t>- Responsive design, role‑based access, SSL security, external vulnerability testing.</w:t>
        <w:br/>
        <w:t>- UX: mobile apps, dashboards for principals/teachers/parents, customisable reports.</w:t>
        <w:br/>
        <w:t>- Reliability: multiple product versions, high customer retention (~94%).</w:t>
      </w:r>
    </w:p>
    <w:p>
      <w:pPr>
        <w:pStyle w:val="Heading2"/>
      </w:pPr>
      <w:r>
        <w:t>Customer Base &amp; Case Studies</w:t>
      </w:r>
    </w:p>
    <w:p>
      <w:r>
        <w:t>- Scale: 1300–1500 schools in India.</w:t>
        <w:br/>
        <w:t>- User base: &gt;1.7M students + parents; ~60,000 teachers.</w:t>
        <w:br/>
        <w:t>- Notable customers: Delhi Public Schools, Don Bosco, Cathedral &amp; John Connon, Lotus Valley, Father Agnel Schools, Air Force Golden Jubilee Institution.</w:t>
        <w:br/>
        <w:t>- Case results: improved fee collection efficiency, reduced manual processes, ~42% operational efficiency gains.</w:t>
      </w:r>
    </w:p>
    <w:p>
      <w:pPr>
        <w:pStyle w:val="Heading2"/>
      </w:pPr>
      <w:r>
        <w:t>Distribution &amp; GTM Strategy</w:t>
      </w:r>
    </w:p>
    <w:p>
      <w:r>
        <w:t>- Sales: B2B SaaS with multi‑year contracts.</w:t>
        <w:br/>
        <w:t>- Tiered products to cover premium, mainstream, and pre‑school markets.</w:t>
        <w:br/>
        <w:t>- Customised demos and quotations.</w:t>
        <w:br/>
        <w:t>- Strong onboarding and training focus.</w:t>
        <w:br/>
        <w:t>- Partnerships: EMI/pay‑later options for parents (e.g., Zenda).</w:t>
      </w:r>
    </w:p>
    <w:p>
      <w:pPr>
        <w:pStyle w:val="Heading2"/>
      </w:pPr>
      <w:r>
        <w:t>Strengths &amp; Differentiators</w:t>
      </w:r>
    </w:p>
    <w:p>
      <w:r>
        <w:t>- Mature, established brand with long history and trust.</w:t>
        <w:br/>
        <w:t>- Comprehensive module coverage (end‑to‑end school admin and academics).</w:t>
        <w:br/>
        <w:t>- Tiered offerings for different school segments.</w:t>
        <w:br/>
        <w:t>- High retention rates (~94%).</w:t>
        <w:br/>
        <w:t>- MIS dashboards and analytics for performance tracking.</w:t>
        <w:br/>
        <w:t>- Strong focus on security and compliance.</w:t>
      </w:r>
    </w:p>
    <w:p>
      <w:pPr>
        <w:pStyle w:val="Heading2"/>
      </w:pPr>
      <w:r>
        <w:t>Weaknesses &amp; Challenges</w:t>
      </w:r>
    </w:p>
    <w:p>
      <w:r>
        <w:t>- No transparent pricing; high upfront/customisation costs.</w:t>
        <w:br/>
        <w:t>- Complex, heavy learning curve for smaller or less tech‑savvy schools.</w:t>
        <w:br/>
        <w:t>- UX less modern compared to newer SaaS products.</w:t>
        <w:br/>
        <w:t>- Slower innovation velocity due to legacy architecture.</w:t>
        <w:br/>
        <w:t>- Dependence on school infrastructure and internet reliability.</w:t>
        <w:br/>
        <w:t>- Rising competition from leaner, mobile‑first SaaS ERPs.</w:t>
      </w:r>
    </w:p>
    <w:p>
      <w:pPr>
        <w:pStyle w:val="Heading2"/>
      </w:pPr>
      <w:r>
        <w:t>Strategic Moves</w:t>
      </w:r>
    </w:p>
    <w:p>
      <w:r>
        <w:t>- Launch of CampusCare 10X with advanced MIS and dashboards.</w:t>
        <w:br/>
        <w:t>- Expanded to mainstream and pre‑school segments with CampusSoft and CampusKidz.</w:t>
        <w:br/>
        <w:t>- Partnered with financial solutions (EMI/pay‑later fee collection tools).</w:t>
        <w:br/>
        <w:t>- Focused on mobile engagement for parents and students.</w:t>
        <w:br/>
        <w:t>- Branding via high‑profile schools and case references.</w:t>
      </w:r>
    </w:p>
    <w:p>
      <w:pPr>
        <w:pStyle w:val="Heading2"/>
      </w:pPr>
      <w:r>
        <w:t>Summary – Key Implications for SparkED</w:t>
      </w:r>
    </w:p>
    <w:p>
      <w:r>
        <w:t>- Position SparkED on ease of use, faster deployment, and transparent pricing.</w:t>
        <w:br/>
        <w:t>- Offer modular ERP with optional add‑ons for scalability.</w:t>
        <w:br/>
        <w:t>- Build strong mobile‑first and offline capabilities for accessibility.</w:t>
        <w:br/>
        <w:t>- Invest in predictive analytics and AI to differentiate from Entab’s dashboards.</w:t>
        <w:br/>
        <w:t>- Prioritise fast onboarding, guided setup, and localised support.</w:t>
        <w:br/>
        <w:t>- Demonstrate ROI with measurable case studies (time saved, fee collection efficiency, etc.).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