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eastAsia="zh-CN"/>
        </w:rPr>
        <w:t>2023-</w:t>
      </w:r>
      <w:r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eastAsia="zh-CN"/>
        </w:rPr>
        <w:t>24</w:t>
      </w:r>
      <w:r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32"/>
          <w:szCs w:val="32"/>
          <w:lang w:val="en-US" w:eastAsia="zh-Hans"/>
        </w:rPr>
        <w:t>第二学期期末统一考试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黑体" w:cs="Times New Roman Regular"/>
          <w:color w:val="auto"/>
          <w:kern w:val="0"/>
          <w:sz w:val="32"/>
          <w:szCs w:val="32"/>
          <w:lang w:val="en-US" w:eastAsia="zh-Hans" w:bidi="ar"/>
        </w:rPr>
        <w:t>计算机网络</w:t>
      </w:r>
      <w:r>
        <w:rPr>
          <w:rFonts w:hint="default" w:ascii="Times New Roman Regular" w:hAnsi="Times New Roman Regular" w:eastAsia="黑体" w:cs="Times New Roman Regular"/>
          <w:color w:val="auto"/>
          <w:kern w:val="0"/>
          <w:sz w:val="32"/>
          <w:szCs w:val="32"/>
          <w:lang w:eastAsia="zh-Hans" w:bidi="ar"/>
        </w:rPr>
        <w:t>（</w:t>
      </w:r>
      <w:r>
        <w:rPr>
          <w:rFonts w:hint="default" w:ascii="Times New Roman Regular" w:hAnsi="Times New Roman Regular" w:eastAsia="黑体" w:cs="Times New Roman Regular"/>
          <w:color w:val="auto"/>
          <w:kern w:val="0"/>
          <w:sz w:val="32"/>
          <w:szCs w:val="32"/>
          <w:lang w:val="en-US" w:eastAsia="zh-Hans" w:bidi="ar"/>
        </w:rPr>
        <w:t>实验班</w:t>
      </w:r>
      <w:r>
        <w:rPr>
          <w:rFonts w:hint="default" w:ascii="Times New Roman Regular" w:hAnsi="Times New Roman Regular" w:eastAsia="黑体" w:cs="Times New Roman Regular"/>
          <w:color w:val="auto"/>
          <w:kern w:val="0"/>
          <w:sz w:val="32"/>
          <w:szCs w:val="32"/>
          <w:lang w:eastAsia="zh-Hans" w:bidi="ar"/>
        </w:rPr>
        <w:t>）</w:t>
      </w:r>
      <w:r>
        <w:rPr>
          <w:rFonts w:hint="default" w:ascii="Times New Roman Regular" w:hAnsi="Times New Roman Regular" w:eastAsia="黑体" w:cs="Times New Roman Regular"/>
          <w:color w:val="auto"/>
          <w:kern w:val="0"/>
          <w:sz w:val="32"/>
          <w:szCs w:val="32"/>
          <w:lang w:val="en-US" w:eastAsia="zh-Hans" w:bidi="ar"/>
        </w:rPr>
        <w:t>参考答案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30"/>
          <w:szCs w:val="30"/>
          <w:lang w:val="en-US" w:eastAsia="zh-CN"/>
        </w:rPr>
        <w:t>第一部分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  <w:t>本部分共1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eastAsia="zh-CN"/>
        </w:rPr>
        <w:t>5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  <w:t>题，每题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eastAsia="zh-CN"/>
        </w:rPr>
        <w:t>2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  <w:t>分，共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eastAsia="zh-CN"/>
        </w:rPr>
        <w:t>30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  <w:t>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color w:val="auto"/>
          <w:sz w:val="21"/>
          <w:szCs w:val="21"/>
          <w:lang w:eastAsia="zh-Hans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D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10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11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12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30"/>
          <w:szCs w:val="30"/>
          <w:lang w:val="en-US" w:eastAsia="zh-CN"/>
        </w:rPr>
        <w:t>第二部分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  <w:t>本部分共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eastAsia="zh-CN"/>
        </w:rPr>
        <w:t>9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  <w:t>题，共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eastAsia="zh-CN"/>
        </w:rPr>
        <w:t>70</w:t>
      </w:r>
      <w:r>
        <w:rPr>
          <w:rFonts w:hint="default" w:ascii="Times New Roman Regular" w:hAnsi="Times New Roman Regular" w:eastAsia="黑体" w:cs="Times New Roman Regular"/>
          <w:b w:val="0"/>
          <w:bCs w:val="0"/>
          <w:color w:val="auto"/>
          <w:sz w:val="21"/>
          <w:szCs w:val="21"/>
          <w:lang w:val="en-US" w:eastAsia="zh-CN"/>
        </w:rPr>
        <w:t>分。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</w:rPr>
        <w:t>（4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自顶向下依次为应用层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传输层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网络层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链路层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物理层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eastAsia="zh-Hans"/>
        </w:rPr>
        <w:t>（4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应用层填写DNS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HTTP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P2P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SMTP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；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传输层填写TCP、UDP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；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网络层填写IP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Packet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Switching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；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链路层填写CSMA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CSMA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/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CD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；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物理层</w:t>
      </w:r>
      <w:r>
        <w:rPr>
          <w:rFonts w:hint="eastAsia" w:ascii="Times New Roman Regular" w:hAnsi="Times New Roman Regular" w:cs="Times New Roman Regular"/>
          <w:color w:val="auto"/>
          <w:lang w:val="en-US" w:eastAsia="zh-Hans"/>
        </w:rPr>
        <w:t>填写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Circuit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Switching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（</w:t>
      </w:r>
      <w:r>
        <w:rPr>
          <w:rFonts w:hint="eastAsia" w:ascii="Times New Roman Regular" w:hAnsi="Times New Roman Regular" w:cs="Times New Roman Regular"/>
          <w:color w:val="auto"/>
          <w:lang w:val="en-US" w:eastAsia="zh-Hans"/>
        </w:rPr>
        <w:t>理论上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lang w:val="en-US" w:eastAsia="zh-Hans"/>
        </w:rPr>
        <w:t>也可以写到链路层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）。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eastAsia="zh-Hans"/>
        </w:rPr>
        <w:t>（4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都属于应用层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，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因为他们都运行在应用程序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/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网页上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，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不具体涉及下层的传输等机制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eastAsia="zh-Hans"/>
        </w:rPr>
        <w:t>（4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保密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认证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完整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可用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（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答安全的扣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1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，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此处以PPT为准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）。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eastAsia="zh-Hans"/>
        </w:rPr>
        <w:t>（4</w:t>
      </w:r>
      <w:r>
        <w:rPr>
          <w:rFonts w:hint="default" w:ascii="Times New Roman Regular" w:hAnsi="Times New Roman Regular" w:cs="Times New Roman Regular"/>
          <w:color w:val="auto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color w:val="auto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lang w:eastAsia="zh-Hans"/>
        </w:rPr>
        <w:t>RTS-CTS 机制可以用于预留信道。尽管两个发送方可能彼此“隐藏”（互相听不到），但当接收方广播 CTS 确认信道预留时，这个广播的 CTS 能被所有发送方接收到，从而使它们知道信道已被占用。通过这种方式，“隐藏终端”问题就被解决了！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center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kern w:val="0"/>
          <w:szCs w:val="21"/>
        </w:rPr>
        <w:drawing>
          <wp:inline distT="0" distB="0" distL="114300" distR="114300">
            <wp:extent cx="2354580" cy="1461770"/>
            <wp:effectExtent l="0" t="0" r="762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center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（10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A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：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TCP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Reno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：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无法确定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如下表所示</w:t>
      </w:r>
    </w:p>
    <w:tbl>
      <w:tblPr>
        <w:tblStyle w:val="3"/>
        <w:tblW w:w="82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jc w:val="center"/>
        </w:trPr>
        <w:tc>
          <w:tcPr>
            <w:tcW w:w="1464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  <w:t>Timeslot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17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18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19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20</w:t>
            </w:r>
          </w:p>
        </w:tc>
      </w:tr>
      <w:tr>
        <w:trPr>
          <w:jc w:val="center"/>
        </w:trPr>
        <w:tc>
          <w:tcPr>
            <w:tcW w:w="1464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  <w:t>实线CW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9</w:t>
            </w:r>
          </w:p>
        </w:tc>
      </w:tr>
      <w:tr>
        <w:trPr>
          <w:jc w:val="center"/>
        </w:trPr>
        <w:tc>
          <w:tcPr>
            <w:tcW w:w="1464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  <w:t>实线threshold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jc w:val="center"/>
        </w:trPr>
        <w:tc>
          <w:tcPr>
            <w:tcW w:w="1464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  <w:t>虚线CW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7</w:t>
            </w:r>
          </w:p>
        </w:tc>
      </w:tr>
      <w:tr>
        <w:trPr>
          <w:jc w:val="center"/>
        </w:trPr>
        <w:tc>
          <w:tcPr>
            <w:tcW w:w="1464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val="en-US" w:eastAsia="zh-Hans"/>
              </w:rPr>
              <w:t>虚线threshold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Cs w:val="21"/>
                <w:vertAlign w:val="baseline"/>
                <w:lang w:eastAsia="zh-Hans"/>
              </w:rPr>
              <w:t>4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（15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如下表所示</w:t>
      </w:r>
    </w:p>
    <w:tbl>
      <w:tblPr>
        <w:tblStyle w:val="2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165"/>
        <w:gridCol w:w="1165"/>
        <w:gridCol w:w="1166"/>
        <w:gridCol w:w="1166"/>
        <w:gridCol w:w="1167"/>
        <w:gridCol w:w="1168"/>
      </w:tblGrid>
      <w:tr>
        <w:tc>
          <w:tcPr>
            <w:tcW w:w="8168" w:type="dxa"/>
            <w:gridSpan w:val="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cs="Times New Roman Italic"/>
                <w:i/>
                <w:iCs w:val="0"/>
                <w:color w:val="000000"/>
                <w:kern w:val="0"/>
                <w:szCs w:val="21"/>
              </w:rPr>
              <w:t>cost to</w:t>
            </w:r>
          </w:p>
        </w:tc>
      </w:tr>
      <w:tr>
        <w:tc>
          <w:tcPr>
            <w:tcW w:w="1166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cs="Times New Roman Italic"/>
                <w:i/>
                <w:iCs w:val="0"/>
                <w:color w:val="000000"/>
                <w:kern w:val="0"/>
                <w:szCs w:val="21"/>
              </w:rPr>
              <w:t>from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A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C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D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E</w:t>
            </w: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  <w:t>A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9</w:t>
            </w: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  <w:t>C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 w:ascii="Times New Roman Regular" w:hAnsi="Times New Roman Regular" w:cs="Times New Roman Regular" w:eastAsiaTheme="minorEastAsia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不存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不存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不存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不存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不存</w:t>
            </w: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  <w:t>D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6</w:t>
            </w: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/>
                <w:iCs w:val="0"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color w:val="000000"/>
                <w:kern w:val="0"/>
                <w:szCs w:val="21"/>
              </w:rPr>
              <w:t>E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Figure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5(b): cost_BA=    cost_CA=    cost_BC=    cost_CB=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Figure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5(c): cost_BA=    cost_CA=    cost_BC=    cost_CB=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Figure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5(d): cost_BA=    cost_CA=    cost_BC=    cost_CB=    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会出现无穷计数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（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count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to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infinity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）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的问题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。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需要经过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12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次迭代才能进入稳定状态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（12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1=1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2=1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.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33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3=1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.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5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4=0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.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5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根据绝对公平的定义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四个数据流的吞吐量均为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根据WFQ的定义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1=0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.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4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2=0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.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66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3=0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.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86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Mbps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4=1.14 Mbps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（13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分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略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:A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C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:C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D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E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t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内AB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CD传输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t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内BC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DE传输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因此ABCDE吞吐量为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0.5 Mbps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略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:A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C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D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 xml:space="preserve">  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:C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D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E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F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t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内C切换回信道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#2，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BA经信道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CD经信道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；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t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内C切换回信道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#1，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AC经信道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DE经信道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；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t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3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内BC经信道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#1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EF经信道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#2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传输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。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因此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BAC的吞吐量为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0.33 Mbps，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lang w:val="en-US" w:eastAsia="zh-Hans"/>
        </w:rPr>
        <w:t>BCDE的吞吐量为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  <w:t>0.33 Mbps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编者注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其他年份的题目的答案也可能有错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特别是频繁出现的题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大概率是老师忘记改了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第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  <w:t>22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题第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  <w:t>（2）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问疑似为错题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第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  <w:t>24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题计算吞吐量时不算入信道切换的损耗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</w:pP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所有题目答案是任课教师在PPT上给出的</w:t>
      </w:r>
      <w:r>
        <w:rPr>
          <w:rFonts w:hint="default" w:ascii="Times New Roman Regular" w:hAnsi="Times New Roman Regular" w:cs="Times New Roman Regular"/>
          <w:color w:val="auto"/>
          <w:kern w:val="0"/>
          <w:szCs w:val="21"/>
          <w:highlight w:val="yellow"/>
          <w:lang w:eastAsia="zh-Hans"/>
        </w:rPr>
        <w:t>，</w:t>
      </w:r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没有给出的</w:t>
      </w:r>
      <w:bookmarkStart w:id="0" w:name="_GoBack"/>
      <w:bookmarkEnd w:id="0"/>
      <w:r>
        <w:rPr>
          <w:rFonts w:hint="eastAsia" w:ascii="Times New Roman Regular" w:hAnsi="Times New Roman Regular" w:cs="Times New Roman Regular"/>
          <w:color w:val="auto"/>
          <w:kern w:val="0"/>
          <w:szCs w:val="21"/>
          <w:highlight w:val="yellow"/>
          <w:lang w:val="en-US" w:eastAsia="zh-Hans"/>
        </w:rPr>
        <w:t>也已经经过任课教师答疑确认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D165"/>
    <w:multiLevelType w:val="singleLevel"/>
    <w:tmpl w:val="EFFFD165"/>
    <w:lvl w:ilvl="0" w:tentative="0">
      <w:start w:val="1"/>
      <w:numFmt w:val="decimal"/>
      <w:suff w:val="nothing"/>
      <w:lvlText w:val="（%1）"/>
      <w:lvlJc w:val="left"/>
      <w:rPr>
        <w:rFonts w:hint="default"/>
        <w:highlight w:val="none"/>
      </w:rPr>
    </w:lvl>
  </w:abstractNum>
  <w:abstractNum w:abstractNumId="1">
    <w:nsid w:val="FDEF1E69"/>
    <w:multiLevelType w:val="singleLevel"/>
    <w:tmpl w:val="FDEF1E6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F6E5380"/>
    <w:multiLevelType w:val="singleLevel"/>
    <w:tmpl w:val="FF6E538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F7A8026"/>
    <w:multiLevelType w:val="singleLevel"/>
    <w:tmpl w:val="FF7A8026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F751C72"/>
    <w:multiLevelType w:val="singleLevel"/>
    <w:tmpl w:val="1F751C72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DDF1A45"/>
    <w:multiLevelType w:val="singleLevel"/>
    <w:tmpl w:val="6DDF1A45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46C4"/>
    <w:rsid w:val="35BFD3A9"/>
    <w:rsid w:val="5AFFA58F"/>
    <w:rsid w:val="5BBDBE23"/>
    <w:rsid w:val="5DFF46C4"/>
    <w:rsid w:val="6BEDC7E6"/>
    <w:rsid w:val="6F7B2FB1"/>
    <w:rsid w:val="7BF2D2C7"/>
    <w:rsid w:val="7BFBDC74"/>
    <w:rsid w:val="B7FFD39F"/>
    <w:rsid w:val="BBF7C126"/>
    <w:rsid w:val="BFEC20ED"/>
    <w:rsid w:val="F573AED0"/>
    <w:rsid w:val="FDEFFC8A"/>
    <w:rsid w:val="FDF7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632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2025-06-05T06:27:00Z</dcterms:created>
  <dc:creator>宇宙第一帅</dc:creator>
  <cp:lastModifiedBy>宇宙第一帅</cp:lastModifiedBy>
  <dcterms:modified xsi:type="dcterms:W3CDTF">2025-06-15T14:49:06Z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