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sz w:val="24"/>
        </w:rPr>
        <w:t>Chapter 5: Discussion, Conclusion, and Future Work</w:t>
      </w:r>
    </w:p>
    <w:p>
      <w:pPr>
        <w:pStyle w:val="Heading2"/>
      </w:pPr>
      <w:r>
        <w:rPr>
          <w:rFonts w:ascii="Times New Roman" w:hAnsi="Times New Roman"/>
          <w:color w:val="000000"/>
          <w:sz w:val="24"/>
        </w:rPr>
        <w:t>5.1 Introduction</w:t>
      </w:r>
    </w:p>
    <w:p>
      <w:pPr>
        <w:spacing w:line="360" w:lineRule="auto"/>
      </w:pPr>
      <w:r>
        <w:rPr>
          <w:rFonts w:ascii="Times New Roman" w:hAnsi="Times New Roman"/>
          <w:sz w:val="24"/>
        </w:rPr>
        <w:t>This chapter interprets the results presented in Chapter 4 against the claims, gaps, and prior studies discussed in the literature review, draws conclusions about what the study has and has not established, states the limitations that should temper those conclusions, and sets out the work that would be needed to extend it. The chapter is organised in three parts: a discussion of the findings by theme, a set of limitations that apply across all three themes, and a conclusion that closes with recommendations for future work.</w:t>
      </w:r>
    </w:p>
    <w:p>
      <w:pPr>
        <w:pStyle w:val="Heading2"/>
      </w:pPr>
      <w:r>
        <w:rPr>
          <w:rFonts w:ascii="Times New Roman" w:hAnsi="Times New Roman"/>
          <w:color w:val="000000"/>
          <w:sz w:val="24"/>
        </w:rPr>
        <w:t>5.2 Discussion</w:t>
      </w:r>
    </w:p>
    <w:p>
      <w:pPr>
        <w:pStyle w:val="Heading3"/>
      </w:pPr>
      <w:r>
        <w:rPr>
          <w:rFonts w:ascii="Times New Roman" w:hAnsi="Times New Roman"/>
          <w:color w:val="000000"/>
          <w:sz w:val="24"/>
        </w:rPr>
        <w:t>5.2.1 Classification Performance in Relation to Prior Work</w:t>
      </w:r>
    </w:p>
    <w:p>
      <w:pPr>
        <w:spacing w:line="360" w:lineRule="auto"/>
      </w:pPr>
      <w:r>
        <w:rPr>
          <w:rFonts w:ascii="Times New Roman" w:hAnsi="Times New Roman"/>
          <w:sz w:val="24"/>
        </w:rPr>
        <w:t>ResNet-50 and VGG-16 achieved broadly comparable performance on both tasks, with EfficientNetB4 trailing on every classification metric reported in Chapter 4. A bootstrap check on the seven-class task (Chapter 4, Table 4.1b) found all three architectures' 95% confidence intervals overlap on both accuracy and kappa, so "broadly comparable" is not merely a qualitative impression here: at this study's validation-set size, the three architectures cannot be statistically distinguished on the seven-class task at all, and ResNet-50's lead is the best point estimate available rather than a confirmed ordering. This is a smaller and more mixed set of differences than the literature review's own comparative summary might suggest. Tahir et al. (2023) reported seven-class-adjacent accuracies in the high 80s and low 90s, and Aburaed et al. (2020) reported accuracies as high as 99%, both well above the 61 to 66 percent range achieved here.</w:t>
      </w:r>
    </w:p>
    <w:p>
      <w:pPr>
        <w:spacing w:line="360" w:lineRule="auto"/>
      </w:pPr>
      <w:r>
        <w:rPr>
          <w:rFonts w:ascii="Times New Roman" w:hAnsi="Times New Roman"/>
          <w:sz w:val="24"/>
        </w:rPr>
        <w:t>This gap is expected rather than concerning, once the underlying datasets are compared rather than the headline numbers alone. Tahir et al. (2023) evaluated a four-class subset of the diagnostic space, a task with fewer opportunities for the kind of inter-class confusion that a seven-class problem introduces. Aburaed et al. (2020) removed approximately 5,000 nevus images before training and testing, producing a dataset close to 1,000 images per class rather than HAM10000's native, heavily skewed distribution. Both changes make the underlying classification problem easier, independent of any difference in architecture. The present study evaluated all three architectures on the complete, unaltered seven-class HAM10000 distribution specifically so that its accuracy figures would reflect the full difficulty of the original dataset, including its class imbalance, rather than a version of the task that has been made easier before results are reported. Read this way, the lower accuracy figures obtained here are a consequence of a harder and more faithfully representative task, not evidence of weaker models, and the critical point raised in the literature review, that accuracy figures computed on differently prepared versions of HAM10000 cannot be compared directly, is borne out by this study's own results sitting well below figures obtained on artificially eased versions of the same dataset.</w:t>
      </w:r>
    </w:p>
    <w:p>
      <w:pPr>
        <w:spacing w:line="360" w:lineRule="auto"/>
      </w:pPr>
      <w:r>
        <w:rPr>
          <w:rFonts w:ascii="Times New Roman" w:hAnsi="Times New Roman"/>
          <w:sz w:val="24"/>
        </w:rPr>
        <w:t>On the binary task, ROC-AUC values of 0.873 to 0.881 sit below the AUC above 0.91 reported by Esteva et al. (2017) and the 0.86 reported by Haenssle et al. (2018). Both of those studies evaluated narrower binary distinctions on curated or proprietary image sets. The binary task used here combines a relabelled seven-class corpus with DDI, spans a wider range of malignant subtypes than a single melanoma-versus-nevus distinction, and evaluates across a broader range of skin tones than either prior study attempted. A lower AUC on a broader, more demographically varied task is consistent with, rather than contradictory to, the two studies' own results.</w:t>
      </w:r>
    </w:p>
    <w:p>
      <w:pPr>
        <w:pStyle w:val="Heading3"/>
      </w:pPr>
      <w:r>
        <w:rPr>
          <w:rFonts w:ascii="Times New Roman" w:hAnsi="Times New Roman"/>
          <w:color w:val="000000"/>
          <w:sz w:val="24"/>
        </w:rPr>
        <w:t>5.2.2 DDI Fairness Strategies in Relation to Prior Work</w:t>
      </w:r>
    </w:p>
    <w:p>
      <w:pPr>
        <w:spacing w:line="360" w:lineRule="auto"/>
      </w:pPr>
      <w:r>
        <w:rPr>
          <w:rFonts w:ascii="Times New Roman" w:hAnsi="Times New Roman"/>
          <w:sz w:val="24"/>
        </w:rPr>
        <w:t>Daneshjou et al. (2022) identified the absence of testing across darker Fitzpatrick skin types as a critical flaw in the dermatology AI literature. The zero-shot results in this study support that concern directly: every architecture's malignant recall collapsed when its HAM10000-only model was evaluated on DDI without adaptation, from a range of 0.799 to 0.871 down to 0.123 to 0.480. This confirms, as a measured finding rather than an assumption, that a model trained only on HAM10000 does not generalise safely to a more diverse population.</w:t>
      </w:r>
    </w:p>
    <w:p>
      <w:pPr>
        <w:spacing w:line="360" w:lineRule="auto"/>
      </w:pPr>
      <w:r>
        <w:rPr>
          <w:rFonts w:ascii="Times New Roman" w:hAnsi="Times New Roman"/>
          <w:sz w:val="24"/>
        </w:rPr>
        <w:t>The comparison across all three strategies goes further than a diagnosis of the problem. Joint training, in which HAM10000 and DDI are combined from the start of training, produced a substantially higher kappa on DDI's held-out split than sequential fine-tuning for every architecture, between approximately 2.1 and 4.3 times higher depending on architecture. This result should be read as evidence that a specific, practical training choice measurably reduces the generalisation gap Daneshjou et al. (2022) identified, without claiming that the gap is closed. DDI remains far smaller than HAM10000, and the joint model's DDI kappa, at best 0.356, remains well below its own HAM10000 kappa.</w:t>
      </w:r>
    </w:p>
    <w:p>
      <w:pPr>
        <w:spacing w:line="360" w:lineRule="auto"/>
      </w:pPr>
      <w:r>
        <w:rPr>
          <w:rFonts w:ascii="Times New Roman" w:hAnsi="Times New Roman"/>
          <w:sz w:val="24"/>
        </w:rPr>
        <w:t>This comparison, and the architecture ranking it implies, was checked four further ways rather than left resting on the single uncalibrated comparison in Table 4.6 (Chapter 4, Section 4.6). Threshold calibration, giving every strategy its own kappa-maximising decision threshold rather than the uncalibrated 0.5 default, rules out an obvious alternative explanation for joint training's advantage: even calibrated fairly, joint remains clearly ahead of zero-shot and fine-tuning for every architecture; the exact margin narrows for some architecture-alternative pairs and widens for others, but does not close for any of them (Section 4.6.3). A paired McNemar's test on the identical 99 held-out images, the statistically appropriate test given all three strategies are scored on the same examples, found every pairwise comparison short of the conventional 0.05 significance threshold for every architecture (Section 4.6.4): DDI's small size means the number of discordant predictions behind each test, 6 to 32 out of 99, is too small for this more demanding test to confirm what the calibrated kappa comparison suggests. This is not read as a null result; a kappa-based effect-size measure and a significance test on raw correctness are answering different questions, and joint training's advantage was directionally consistent across the calibrated comparison, the uncalibrated comparison, and the multi-seed check below, even though no single formal test proves it at conventional significance given DDI's size.</w:t>
      </w:r>
    </w:p>
    <w:p>
      <w:pPr>
        <w:spacing w:line="360" w:lineRule="auto"/>
      </w:pPr>
      <w:r>
        <w:rPr>
          <w:rFonts w:ascii="Times New Roman" w:hAnsi="Times New Roman"/>
          <w:sz w:val="24"/>
        </w:rPr>
        <w:t>The joint model's architecture ranking was also checked directly against training-run variance rather than left resting on a single trained model per architecture: repeating training for two further, independently seeded runs per architecture (Section 4.6.1) reproduced the same ordering, ResNet-50 and VGG-16 both ahead of EfficientNetB4, in every one of the three seeds for every pairwise comparison. This is evidence that the ranking reflects something more than one favourable training run. It is not evidence that the ResNet-50-versus-VGG-16 gap specifically is a confident distinction: that margin narrowed to essentially zero in one of the three seeds, so it should be read as a directionally consistent but narrow lead for ResNet-50, not a settled result, whereas both architectures' lead over EfficientNetB4 held clearly in every seed tested.</w:t>
      </w:r>
    </w:p>
    <w:p>
      <w:pPr>
        <w:spacing w:line="360" w:lineRule="auto"/>
      </w:pPr>
      <w:r>
        <w:rPr>
          <w:rFonts w:ascii="Times New Roman" w:hAnsi="Times New Roman"/>
          <w:sz w:val="24"/>
        </w:rPr>
        <w:t>A bootstrap confidence interval computed on a single seed's DDI held-out kappa (Section 4.6.2) puts this in context: at roughly 0.39 to 0.42 wide, it is an order of magnitude wider than the 0.021 to 0.032 spread observed across the three training seeds. Training-run variance and sampling variance are answering two different questions, whether a different trained model would change the result and whether a different held-out sample would, and only the second turns out to be large here. DDI's 99-image held-out split, not the training procedure, is the dominant source of uncertainty behind every DDI held-out kappa figure reported in this study, is the reason the McNemar's test above cannot reach significance, and is a further, independent reason to read the ResNet-50-versus-VGG-16 margin cautiously.</w:t>
      </w:r>
    </w:p>
    <w:p>
      <w:pPr>
        <w:spacing w:line="360" w:lineRule="auto"/>
      </w:pPr>
      <w:r>
        <w:rPr>
          <w:rFonts w:ascii="Times New Roman" w:hAnsi="Times New Roman"/>
          <w:sz w:val="24"/>
        </w:rPr>
        <w:t>The skin-tone-stratified results complicate a simple reading of this fairness problem. None of the three architectures showed a monotonic decline in accuracy from lighter to darker Fitzpatrick bands under joint training; in ResNet-50's case, the darkest band achieved the highest accuracy of the three. Given that each band contains only 31 to 36 images, this should not be read as evidence that darker skin tones are easier for these models, only as evidence that the relationship between skin tone and accuracy, at this sample size, is not the simple monotonic pattern a reader might expect from the zero-shot result alone. This is exactly the kind of finding that a larger stratified sample, discussed later in this chapter, would be needed to confirm or overturn.</w:t>
      </w:r>
    </w:p>
    <w:p>
      <w:pPr>
        <w:pStyle w:val="Heading3"/>
      </w:pPr>
      <w:r>
        <w:rPr>
          <w:rFonts w:ascii="Times New Roman" w:hAnsi="Times New Roman"/>
          <w:color w:val="000000"/>
          <w:sz w:val="24"/>
        </w:rPr>
        <w:t>5.2.3 Explainability Findings in Relation to Prior Work</w:t>
      </w:r>
    </w:p>
    <w:p>
      <w:pPr>
        <w:spacing w:line="360" w:lineRule="auto"/>
      </w:pPr>
      <w:r>
        <w:rPr>
          <w:rFonts w:ascii="Times New Roman" w:hAnsi="Times New Roman"/>
          <w:sz w:val="24"/>
        </w:rPr>
        <w:t>Hauser et al. (2022) found that the large majority of studies applying an XAI method to dermatological images did not evaluate the resulting explanation in any way, and that only a small minority validated their explanations against an independent standard. The faithfulness methodology used in this study, scoring both Grad-CAM and SHAP against HAM10000's ground-truth lesion masks using IoU and Dice, was designed as a direct response to that finding, and the results in Chapter 4 show why that check matters in practice. An unvalidated 15-image comparison suggested that SHAP was more faithful than Grad-CAM for EfficientNetB4; a properly powered comparison at 150, 200, and 400 images showed the two methods to be statistically indistinguishable for that architecture. Had the smaller sample been reported without the later check, this study would have repeated exactly the pattern Hauser et al. (2022) documented: an explanation method result asserted without adequate validation.</w:t>
      </w:r>
    </w:p>
    <w:p>
      <w:pPr>
        <w:spacing w:line="360" w:lineRule="auto"/>
      </w:pPr>
      <w:r>
        <w:rPr>
          <w:rFonts w:ascii="Times New Roman" w:hAnsi="Times New Roman"/>
          <w:sz w:val="24"/>
        </w:rPr>
        <w:t>The confidence interval analysis also speaks to the fourth gap identified in the literature review, whether classification accuracy and explanation quality are related. EfficientNetB4, the weakest architecture on both classification tasks, is also the architecture for which no reliable difference between Grad-CAM and SHAP could be established. ResNet-50 and VGG-16, whose classification performance was close to each other and ahead of EfficientNetB4, each showed a clear and statistically supported preference for one method over the other, in opposite directions. With only three architectures compared, this is not sufficient evidence to claim a general relationship between classification accuracy and explanation faithfulness, but it is evidence against the simplest possible relationship, that a more accurate model's explanations are consistently more faithful by one method or the other, since ResNet-50 and VGG-16 diverge from each other despite both outperforming EfficientNetB4. The Streamlit demonstrator (Section 3.11, Appendix B) provides a qualitative counterpart to this quantitative comparison, letting a reader inspect a live Grad-CAM overlay against an individual prediction directly rather than only through aggregate IoU/Dice figures.</w:t>
      </w:r>
    </w:p>
    <w:p>
      <w:pPr>
        <w:pStyle w:val="Heading3"/>
      </w:pPr>
      <w:r>
        <w:rPr>
          <w:rFonts w:ascii="Times New Roman" w:hAnsi="Times New Roman"/>
          <w:color w:val="000000"/>
          <w:sz w:val="24"/>
        </w:rPr>
        <w:t>5.2.4 Revisiting the Gaps Identified in the Literature Review</w:t>
      </w:r>
    </w:p>
    <w:p>
      <w:pPr>
        <w:spacing w:line="360" w:lineRule="auto"/>
      </w:pPr>
      <w:r>
        <w:rPr>
          <w:rFonts w:ascii="Times New Roman" w:hAnsi="Times New Roman"/>
          <w:sz w:val="24"/>
        </w:rPr>
        <w:t>The first gap, the absence of a controlled comparison of ResNet-50, EfficientNetB4, and VGG-16 on the full seven-class HAM10000, is addressed directly: all three architectures were trained and evaluated under an identical dataset, split, augmentation pipeline, and training procedure, and the resulting differences, summarised above, can be attributed to architecture rather than to differing dataset preparation.</w:t>
      </w:r>
    </w:p>
    <w:p>
      <w:pPr>
        <w:spacing w:line="360" w:lineRule="auto"/>
      </w:pPr>
      <w:r>
        <w:rPr>
          <w:rFonts w:ascii="Times New Roman" w:hAnsi="Times New Roman"/>
          <w:sz w:val="24"/>
        </w:rPr>
        <w:t>The second gap, the absence of a study combining classification performance with a quantitative, multi-architecture comparison of Grad-CAM and SHAP, is addressed by the faithfulness results in Chapter 4, which cover both methods across all three architectures using a shared, quantitative scoring procedure rather than visual inspection alone.</w:t>
      </w:r>
    </w:p>
    <w:p>
      <w:pPr>
        <w:spacing w:line="360" w:lineRule="auto"/>
      </w:pPr>
      <w:r>
        <w:rPr>
          <w:rFonts w:ascii="Times New Roman" w:hAnsi="Times New Roman"/>
          <w:sz w:val="24"/>
        </w:rPr>
        <w:t>The third gap, evaluation frameworks inadequate for an imbalanced dataset, is addressed by reporting the full metric suite, accuracy, per-class precision, recall, and F1, ROC-AUC, and Cohen's kappa, for every model, and by treating kappa rather than accuracy as decisive wherever imbalance could make accuracy misleading, most visibly in the DDI strategy comparison discussed above.</w:t>
      </w:r>
    </w:p>
    <w:p>
      <w:pPr>
        <w:spacing w:line="360" w:lineRule="auto"/>
      </w:pPr>
      <w:r>
        <w:rPr>
          <w:rFonts w:ascii="Times New Roman" w:hAnsi="Times New Roman"/>
          <w:sz w:val="24"/>
        </w:rPr>
        <w:t>The fourth gap, the unexamined relationship between classification accuracy and explanation quality, is addressed only partially, as discussed above. A pattern was observed across three architectures, but three architectures is too small a sample to generalise from with confidence.</w:t>
      </w:r>
    </w:p>
    <w:p>
      <w:pPr>
        <w:spacing w:line="360" w:lineRule="auto"/>
      </w:pPr>
      <w:r>
        <w:rPr>
          <w:rFonts w:ascii="Times New Roman" w:hAnsi="Times New Roman"/>
          <w:sz w:val="24"/>
        </w:rPr>
        <w:t>The fifth gap, the absence of demographic generalisability testing, is addressed by DDI's inclusion and the zero-shot, fine-tuning, and joint comparisons built around it, though the skin-tone-stratified results themselves remain limited by DDI's small size. Figure 5.1 summarises how each gap was addressed and to what degree.</w:t>
      </w:r>
    </w:p>
    <w:p>
      <w:pPr>
        <w:jc w:val="center"/>
      </w:pPr>
      <w:r>
        <w:drawing>
          <wp:inline xmlns:a="http://schemas.openxmlformats.org/drawingml/2006/main" xmlns:pic="http://schemas.openxmlformats.org/drawingml/2006/picture">
            <wp:extent cx="5220000" cy="5659971"/>
            <wp:docPr id="1" name="Picture 1"/>
            <wp:cNvGraphicFramePr>
              <a:graphicFrameLocks noChangeAspect="1"/>
            </wp:cNvGraphicFramePr>
            <a:graphic>
              <a:graphicData uri="http://schemas.openxmlformats.org/drawingml/2006/picture">
                <pic:pic>
                  <pic:nvPicPr>
                    <pic:cNvPr id="0" name="8a2db22823b64e89.png"/>
                    <pic:cNvPicPr/>
                  </pic:nvPicPr>
                  <pic:blipFill>
                    <a:blip r:embed="rId9"/>
                    <a:stretch>
                      <a:fillRect/>
                    </a:stretch>
                  </pic:blipFill>
                  <pic:spPr>
                    <a:xfrm>
                      <a:off x="0" y="0"/>
                      <a:ext cx="5220000" cy="5659971"/>
                    </a:xfrm>
                    <a:prstGeom prst="rect"/>
                  </pic:spPr>
                </pic:pic>
              </a:graphicData>
            </a:graphic>
          </wp:inline>
        </w:drawing>
      </w:r>
    </w:p>
    <w:p>
      <w:pPr>
        <w:pStyle w:val="FigureCaption"/>
        <w:spacing w:line="240" w:lineRule="auto" w:after="240"/>
        <w:jc w:val="center"/>
      </w:pPr>
      <w:r>
        <w:rPr>
          <w:rFonts w:ascii="Times New Roman" w:hAnsi="Times New Roman"/>
          <w:i/>
          <w:sz w:val="20"/>
        </w:rPr>
        <w:t>Figure 5.1: How each gap identified in the literature review was addressed, and to what degree.</w:t>
      </w:r>
    </w:p>
    <w:p>
      <w:pPr>
        <w:pStyle w:val="Heading2"/>
      </w:pPr>
      <w:r>
        <w:rPr>
          <w:rFonts w:ascii="Times New Roman" w:hAnsi="Times New Roman"/>
          <w:color w:val="000000"/>
          <w:sz w:val="24"/>
        </w:rPr>
        <w:t>5.3 Limitations</w:t>
      </w:r>
    </w:p>
    <w:p>
      <w:pPr>
        <w:spacing w:line="360" w:lineRule="auto"/>
      </w:pPr>
      <w:r>
        <w:rPr>
          <w:rFonts w:ascii="Times New Roman" w:hAnsi="Times New Roman"/>
          <w:sz w:val="24"/>
        </w:rPr>
        <w:t>Several limitations apply across the findings discussed above and should be kept in view when weighing their strength.</w:t>
      </w:r>
    </w:p>
    <w:p>
      <w:pPr>
        <w:spacing w:line="360" w:lineRule="auto"/>
      </w:pPr>
      <w:r>
        <w:rPr>
          <w:rFonts w:ascii="Times New Roman" w:hAnsi="Times New Roman"/>
          <w:sz w:val="24"/>
        </w:rPr>
        <w:t>Each architecture was trained once per task, using a single random seed, with one exception: the joint binary model's DDI held-out kappa ranking was additionally checked across three independently trained seeds (Chapter 4, Section 4.6.1), and found stable, though the ResNet-50-versus-VGG-16 gap specifically is narrow enough in one of the three seeds that it should not be treated as a confident distinction. This check is scoped narrowly to training-initialisation variance, since the lesion-level data split itself was held fixed across all three seeds by construction, so it does not speak to whether the ranking would survive a different data split. No equivalent multi-seed check has been run for the seven-class task or for the zero-shot and sequential fine-tuning DDI strategies, so a difference between architectures on those results still cannot be distinguished from run-to-run training variance that a repeated-seed experiment might reveal.</w:t>
      </w:r>
    </w:p>
    <w:p>
      <w:pPr>
        <w:spacing w:line="360" w:lineRule="auto"/>
      </w:pPr>
      <w:r>
        <w:rPr>
          <w:rFonts w:ascii="Times New Roman" w:hAnsi="Times New Roman"/>
          <w:sz w:val="24"/>
        </w:rPr>
        <w:t>None of this study's architecture-ranking claims, on either task, are backed by a formal significance test that clears the conventional 0.05 threshold. The seven-class ranking's bootstrap confidence intervals overlap across all three architectures (Chapter 4, Table 4.1b); the DDI held-out kappa comparison's McNemar's test does not reach significance for any pairwise comparison on any architecture, even at each strategy's own best-calibrated threshold (Chapter 4, Section 4.6.4). In both cases this reflects the sample sizes available, 1,490 validation images for the seven-class task and only 99 held-out images for DDI, rather than a weakness in the comparison procedure itself, and in both cases the point estimates, and, for the DDI comparison, the multi-seed and calibrated checks, are directionally consistent with the rankings reported in Chapter 4. But the rankings should be read throughout this dissertation as the best available estimates from the data collected, not as statistically proven orderings.</w:t>
      </w:r>
    </w:p>
    <w:p>
      <w:pPr>
        <w:spacing w:line="360" w:lineRule="auto"/>
      </w:pPr>
      <w:r>
        <w:rPr>
          <w:rFonts w:ascii="Times New Roman" w:hAnsi="Times New Roman"/>
          <w:sz w:val="24"/>
        </w:rPr>
        <w:t>The skin-tone-stratified results discussed above are drawn from Fitzpatrick bands of 31 to 36 images each, small enough that the non-monotonic pattern observed should be treated as suggestive rather than conclusive.</w:t>
      </w:r>
    </w:p>
    <w:p>
      <w:pPr>
        <w:spacing w:line="360" w:lineRule="auto"/>
      </w:pPr>
      <w:r>
        <w:rPr>
          <w:rFonts w:ascii="Times New Roman" w:hAnsi="Times New Roman"/>
          <w:sz w:val="24"/>
        </w:rPr>
        <w:t>EfficientNetB4's SHAP faithfulness evaluation was capped at 400 images rather than the 500 used for the other two architectures, because of a memory constraint tied to its larger input resolution. This asymmetry is unlikely to explain the tie observed for EfficientNetB4, since the same tie held independently at 200 images as well as 400, but it means the three architectures were not evaluated at a perfectly matched sample size.</w:t>
      </w:r>
    </w:p>
    <w:p>
      <w:pPr>
        <w:spacing w:line="360" w:lineRule="auto"/>
      </w:pPr>
      <w:r>
        <w:rPr>
          <w:rFonts w:ascii="Times New Roman" w:hAnsi="Times New Roman"/>
          <w:sz w:val="24"/>
        </w:rPr>
        <w:t>Grad-CAM and SHAP were scored quantitatively only against HAM10000-derived predictions, since DDI provides no equivalent ground-truth segmentation mask. Any explanation produced for a DDI-derived prediction in the course of this project's XAI generation stage was assessed visually only, and no quantitative faithfulness claim is made about those explanations.</w:t>
      </w:r>
    </w:p>
    <w:p>
      <w:pPr>
        <w:spacing w:line="360" w:lineRule="auto"/>
      </w:pPr>
      <w:r>
        <w:rPr>
          <w:rFonts w:ascii="Times New Roman" w:hAnsi="Times New Roman"/>
          <w:sz w:val="24"/>
        </w:rPr>
        <w:t>The IoU and Dice faithfulness scores used throughout this study measure whether an explanation's highlighted region overlaps the ground-truth extent of the lesion. This is a meaningful, checkable proxy for one aspect of explanation quality, but it is not the same as clinical interpretability. No dermatologist or other clinical expert reviewed any explanation produced in this study, so the gap Hauser et al. (2022) identified between producing an explanation and validating it against clinical judgement is narrowed by this study's quantitative check, not closed by it.</w:t>
      </w:r>
    </w:p>
    <w:p>
      <w:pPr>
        <w:spacing w:line="360" w:lineRule="auto"/>
      </w:pPr>
      <w:r>
        <w:rPr>
          <w:rFonts w:ascii="Times New Roman" w:hAnsi="Times New Roman"/>
          <w:sz w:val="24"/>
        </w:rPr>
        <w:t>The binary task's malignant and benign grouping, in which actinic keratosis is treated as malignant, follows one defensible convention but is not the only one used in the published literature; this grouping was not independently confirmed with a clinical supervisor before the results in Chapter 4 were produced. DDI's precise licence terms had also not been independently verified against its official release documentation at the time of writing.</w:t>
      </w:r>
    </w:p>
    <w:p>
      <w:pPr>
        <w:spacing w:line="360" w:lineRule="auto"/>
      </w:pPr>
      <w:r>
        <w:rPr>
          <w:rFonts w:ascii="Times New Roman" w:hAnsi="Times New Roman"/>
          <w:sz w:val="24"/>
        </w:rPr>
        <w:t>Finally, this project remains explicitly non-clinical throughout. No result reported in Chapter 4, and no discussion in this chapter, should be read as evidence that any of the six trained models are fit for clinical use.</w:t>
      </w:r>
    </w:p>
    <w:p>
      <w:pPr>
        <w:pStyle w:val="Heading2"/>
      </w:pPr>
      <w:r>
        <w:rPr>
          <w:rFonts w:ascii="Times New Roman" w:hAnsi="Times New Roman"/>
          <w:color w:val="000000"/>
          <w:sz w:val="24"/>
        </w:rPr>
        <w:t>5.4 Conclusion</w:t>
      </w:r>
    </w:p>
    <w:p>
      <w:pPr>
        <w:spacing w:line="360" w:lineRule="auto"/>
      </w:pPr>
      <w:r>
        <w:rPr>
          <w:rFonts w:ascii="Times New Roman" w:hAnsi="Times New Roman"/>
          <w:sz w:val="24"/>
        </w:rPr>
        <w:t>Measured against the five objectives set out in Chapter 1, each was achieved. The first objective, reviewing the published literature on CNN-based classification, transfer learning, class-imbalance handling, and explainable AI, was completed in Chapter 2, which identified the five specific gaps this study was designed to close. The second objective, designing an experiment comparing ResNet-50, EfficientNetB4, and VGG-16 on a seven-class HAM10000 task and a DDI-incorporating binary task, was completed in Chapter 3, alongside the three-strategy comparison added specifically to make the DDI fairness question answerable. The third objective, implementing and training all three architectures through transfer learning from ImageNet-pretrained weights while addressing HAM10000's class imbalance through augmentation and class weighting, was completed as described in Chapter 3 and produced the six trained models evaluated in Chapter 4. The fourth objective, evaluating and comparing the six models on accuracy, precision, recall, per-class F1, ROC-AUC, and Cohen's kappa, and assessing interpretability through Grad-CAM and SHAP, was completed in Chapter 4, and was extended beyond the original plan with a sample-size verification step once the smaller explainability comparisons proved statistically unreliable. The fifth objective, analysing the trade-off between classification accuracy and explainability across the three architectures and identifying which, if any, offers the best balance, is addressed directly by the findings above: no single architecture dominates on both dimensions, and the trade-off itself turns out to be architecture-specific rather than a matter of one model being straightforwardly ahead of the other two.</w:t>
      </w:r>
    </w:p>
    <w:p>
      <w:pPr>
        <w:spacing w:line="360" w:lineRule="auto"/>
      </w:pPr>
      <w:r>
        <w:rPr>
          <w:rFonts w:ascii="Times New Roman" w:hAnsi="Times New Roman"/>
          <w:sz w:val="24"/>
        </w:rPr>
        <w:t>This study compared ResNet-50, EfficientNetB4, and VGG-16 on two dermoscopic classification tasks under matched dataset and training conditions, extended the binary task's evaluation to a dedicated fairness comparison using the DDI dataset, and applied a quantitative, sample-size-verified faithfulness check to Grad-CAM and SHAP across all three architectures. ResNet-50 and VGG-16 performed comparably to one another and ahead of EfficientNetB4 on both classification tasks, though a bootstrap check found the seven-class task's architecture rankings are not statistically distinguishable at this study's sample size, so this ordering is the best available point estimate rather than a proven one. Joint training on HAM10000 and DDI together produced a substantially fairer and more effective binary model than either evaluating a HAM10000-only model directly on DDI or fine-tuning it afterward, for every architecture tested, a result that held up under four separate robustness checks, threshold calibration, a paired significance test, a multi-seed check, and a bootstrap confidence interval, even though DDI's small size means no single formal significance test reaches the conventional threshold and the specific margin between ResNet-50 and VGG-16 under this strategy proved narrow and seed-sensitive rather than a confident distinction. Explainability faithfulness proved to be architecture-dependent rather than fixed: ResNet-50's explanations were more faithful under Grad-CAM, VGG-16's under SHAP, and EfficientNetB4 showed no reliable difference between the two methods once evaluated at an adequately large and independently checked sample size.</w:t>
      </w:r>
    </w:p>
    <w:p>
      <w:pPr>
        <w:spacing w:line="360" w:lineRule="auto"/>
      </w:pPr>
      <w:r>
        <w:rPr>
          <w:rFonts w:ascii="Times New Roman" w:hAnsi="Times New Roman"/>
          <w:sz w:val="24"/>
        </w:rPr>
        <w:t>Taken together, these results close, or partially close, each of the five gaps identified in the literature review, while surfacing a methodological point that extends beyond any single result: an explainability or fairness comparison computed on a small sample is not safe to report at face value, and should be checked against a larger sample, and ideally a formal interval estimate, before being treated as a finding.</w:t>
      </w:r>
    </w:p>
    <w:p>
      <w:pPr>
        <w:pStyle w:val="Heading2"/>
      </w:pPr>
      <w:r>
        <w:rPr>
          <w:rFonts w:ascii="Times New Roman" w:hAnsi="Times New Roman"/>
          <w:color w:val="000000"/>
          <w:sz w:val="24"/>
        </w:rPr>
        <w:t>5.5 Recommendations for Future Work</w:t>
      </w:r>
    </w:p>
    <w:p>
      <w:pPr>
        <w:spacing w:line="360" w:lineRule="auto"/>
      </w:pPr>
      <w:r>
        <w:rPr>
          <w:rFonts w:ascii="Times New Roman" w:hAnsi="Times New Roman"/>
          <w:sz w:val="24"/>
        </w:rPr>
        <w:t>The clearest next step is clinical validation of the explanations this study scored only computationally. Hauser et al. (2022) found that almost none of the studies they reviewed took this step; recruiting dermatologists to judge whether Grad-CAM's or SHAP's highlighted regions correspond to clinically meaningful reasoning, rather than only to the ground-truth lesion boundary, would close the interpretability gap this study narrows but does not close.</w:t>
      </w:r>
    </w:p>
    <w:p>
      <w:pPr>
        <w:spacing w:line="360" w:lineRule="auto"/>
      </w:pPr>
      <w:r>
        <w:rPr>
          <w:rFonts w:ascii="Times New Roman" w:hAnsi="Times New Roman"/>
          <w:sz w:val="24"/>
        </w:rPr>
        <w:t>The multi-seed variance check completed for the joint binary models (Chapter 4, Section 4.6.1) should be extended to the seven-class task and to the other two DDI strategies, zero-shot and sequential fine-tuning, so that the architecture differences reported for those results can also be checked against run-to-run training variance rather than read from a single training run per configuration. A further extension would vary the underlying lesion-level data split itself, not only weight initialisation, since the check completed here held the data split fixed across all three seeds and so speaks only to training-initialisation variance, not to the broader question of how much the ranking depends on the specific split used throughout this study.</w:t>
      </w:r>
    </w:p>
    <w:p>
      <w:pPr>
        <w:spacing w:line="360" w:lineRule="auto"/>
      </w:pPr>
      <w:r>
        <w:rPr>
          <w:rFonts w:ascii="Times New Roman" w:hAnsi="Times New Roman"/>
          <w:sz w:val="24"/>
        </w:rPr>
        <w:t>None of this study's architecture-ranking claims currently clear a conventional significance threshold, on either task: the seven-class task's confidence intervals overlap (Chapter 4, Table 4.1b), and DDI's McNemar's test does not reach significance for any pairwise comparison (Chapter 4, Section 4.6.4). Both limitations trace back to sample size rather than to the comparison procedure, so the most direct future step is not a different test but a larger evaluation set: a bigger held-out DDI-like sample, or pooling DDI with a comparable diverse-skin-tone dataset, would narrow the seven-class and DDI confidence intervals and give a paired significance test the statistical power the current 1,490- and 99-image evaluation sets do not provide.</w:t>
      </w:r>
    </w:p>
    <w:p>
      <w:pPr>
        <w:spacing w:line="360" w:lineRule="auto"/>
      </w:pPr>
      <w:r>
        <w:rPr>
          <w:rFonts w:ascii="Times New Roman" w:hAnsi="Times New Roman"/>
          <w:sz w:val="24"/>
        </w:rPr>
        <w:t>SHAP was applied only to the seven-class task in this study, since its output format did not obviously match the binary task's single-output classification head. Resolving that mismatch and extending the SHAP faithfulness comparison to the binary task would complete the explainability comparison this study began.</w:t>
      </w:r>
    </w:p>
    <w:p>
      <w:pPr>
        <w:spacing w:line="360" w:lineRule="auto"/>
      </w:pPr>
      <w:r>
        <w:rPr>
          <w:rFonts w:ascii="Times New Roman" w:hAnsi="Times New Roman"/>
          <w:sz w:val="24"/>
        </w:rPr>
        <w:t>DDI's skin-tone-stratified results would benefit from a larger sample, either through a larger diverse-skin-tone dataset than DDI currently provides or through pooling DDI with a comparable dataset, so that the non-monotonic pattern observed earlier in this chapter can be confirmed or overturned with a stratified sample larger than the 31 to 36 images per band available here.</w:t>
      </w:r>
    </w:p>
    <w:p>
      <w:pPr>
        <w:spacing w:line="360" w:lineRule="auto"/>
      </w:pPr>
      <w:r>
        <w:rPr>
          <w:rFonts w:ascii="Times New Roman" w:hAnsi="Times New Roman"/>
          <w:sz w:val="24"/>
        </w:rPr>
        <w:t>Finally, the architecture-specific explainability result for VGG-16, whose explanations were more faithful under SHAP by a margin that held and grew across every sample size tested, is not yet explained mechanistically. Investigating why VGG-16 in particular favours SHAP, for instance through its lack of the skip connections present in ResNet-50, would turn this study's statistical finding into a more general, architecturally grounded one.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360" w:lineRule="auto"/>
      <w:outlineLvl w:val="1"/>
    </w:pPr>
    <w:rPr>
      <w:rFonts w:asciiTheme="majorHAnsi" w:eastAsiaTheme="majorEastAsia" w:hAnsiTheme="majorHAnsi"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80" w:after="120" w:line="360" w:lineRule="auto"/>
      <w:outlineLvl w:val="3"/>
    </w:pPr>
    <w:rPr>
      <w:rFonts w:asciiTheme="majorHAnsi" w:eastAsiaTheme="majorEastAsia" w:hAnsiTheme="majorHAnsi" w:cstheme="majorBidi" w:ascii="Times New Roman" w:hAnsi="Times New Roman"/>
      <w:b/>
      <w:bCs/>
      <w:i/>
      <w:iCs/>
      <w:color w:val="000000"/>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