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8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44"/>
        </w:rPr>
        <w:t>全景布局标注的不确定性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研究概要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研究定位与核心问题</w:t>
      </w:r>
    </w:p>
    <w:p>
      <w:pPr/>
      <w:r>
        <w:t>全景布局人工标注的不确定性来自图片条件与人员差异。同一张图片可以包含多个已准入目标空间；人员选择的范围、保留的结构和边界位置都可能不同。本研究先辨认原答所对应的目标，再衡量同目标内部的标注差异，以及人数、成员和人员比例怎样改变共识结果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研究沿四个问题展开：图片的结构条件影响原始标法；不同标法进入完整结构共识；人数、人员构成与具体成员改变输出；同房间多视角与表示条件进一步限定这些规律。质量评价负责测清变化，结构共识负责形成并追踪输出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论文定位为基础性方法与实证研究，以质量测量、结构共识和人员差异机制为主线。结果章先给出发现与证据，再解释机制与适用条件。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四项核心贡献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（1）面向人工布局缺陷的可解释质量评价。分别表征范围、边界、方向、整体与局部高度等误差，并与均高棱柱 3D IoU、逐列布局深度及人工判断对照，说明新评价相对既有指标多识别了什么。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（2）面向异构人工布局的完整结构共识。在不同人数与角点表达下完成结构对应、独立人员支持、几何定位与环连接，并报告相对完整原答选择与区域聚合的收益与代价。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（3）人员表达类别、具体成员与团队背景共同影响共识的实证规律。分类能组织差异，同配比内部仍有明显成员作用；配比格、严格 ABC、扩块与增背景提供受控证据。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（4）图片条件与人数过程的发现：结构条件改变人员表达；增加人员对均值、低尾和失败作用不同；门洞交界可在 Manhattan 房间中造成单室表示冲突。同房跨视角用于检验这些规律能否重复。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第一章　引言（Introduction）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1.1　研究背景与实际问题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本章交代全景 Room Layout、Manhattan 假设与人工标注在训练和评价中的作用，并以真实标注分歧为切入点：同一张图片会产生不同的非冗余转折、短边、底面范围、上下边界和完整结构。普通场景中，同一张图的转折、短边和底面范围会因人员而异；门洞交界拍摄中，相机点位与单室闭合表示可能冲突。两类问题分别对应人员判断差异和表示适配差异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1.2　研究动机与问题链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RQ1　结构与几何不一致时，如何衡量人工布局质量并形成完整共识？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RQ2　图片结构条件怎样影响原始标注？人数增加后，质量与稳定性分别如何变化？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RQ3　人员表达类别、具体成员、替换规模与共同背景怎样影响融合结果？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RQ4　哪些人员信息能跨同房视角重复？门洞交界与 OOS 场景怎样影响布局的可表达范围？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1.3　论文贡献与组织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引言末尾给出上述四项贡献。前两项是两个方法基础，第三项是人员实证，第四项汇总图片条件、人数过程与交界表示；同房跨视角用于检验规律能否重复。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第二章　相关工作（Related Work）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2.1　全景布局表示与人工标注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介绍 Manhattan Room Layout、全景布局估计、典型数据集及 GT 构建方式。关注结构目标、门洞交界的拍摄点位与单室闭合表示；不同边界选择既可能是范围差异，也可能需要调整表示或采集点位。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2.2　布局质量评价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介绍 2D/3D IoU、角点与边界误差、方向和逐列布局深度等指标，并区分一般 3D IoU 与本文对照的均高棱柱 3D IoU。经过几何约束处理的模型布局已经满足部分结构条件；自由人工标注则可能同时包含范围、位置、方向和局部高度的不一致。评价人工标注既要衡量与参考的接近程度，也要诊断这些几何问题。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2.3　多标注者聚合与完整结构共识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分别讨论完整原答选择、区域聚合和结构化构建。medoid 直接输出一份完整原答，区域方法聚合底面，本文方法研究异构结构如何形成新的共同布局。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2.4　标注者差异与条件性表现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参考多标注者学习与语义分割中的标注风格研究，讨论历史质量、实际标法、图像条件与团队作用之间的关系。本文证据集中在全景布局的结构与几何形成过程。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第三章　任务与数据（Problem Formulation and Dataset）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3.1　人工标注与数据组织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定义人工标注数据、Manual 与 Semi 两种采集条件、来源人员、图片、同房图对及建筑，其中同房指同一房间的不同拍摄视角。Manual 为从头人工标注，Semi 以模型初始化为起点编辑，两者是并列的采集条件。</w:t>
      </w:r>
    </w:p>
    <w:p>
      <w:pPr/>
      <w:r>
        <w:t>真人库存仍为 10,439 份作答、261 张图片和 62 个来源人员 ID。v2.1 原主目标有 8,154 份正式质量记录，其中普通 Manual 为 6,512 份、206 张图。另有 31 个其他已准入空间池、231 份作答可作分空间补充；两部分去重合计 8,385 份。旧 v2 的 7,302 份用于版本对照。合并记录的范围不自动成为每项下游分析的分母。</w:t>
      </w:r>
    </w:p>
    <w:p>
      <w:pPr/>
      <w:r>
        <w:t>图片难度由几何初分、视觉复核、人工修订和版本冻结形成；v2.1 主目标保留已采用等级及本轮确认的修订。其他已准入目标的历史依据仍在逐项核对，尚未全部形成已采用等级，不直接继承同图主目标难度。固定六转折研究用于分析短边和几何自遮挡与简化表达的关系。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3.2　布局表示与任务范围</w:t>
      </w:r>
    </w:p>
    <w:p>
      <w:pPr/>
      <w:r>
        <w:t>同一张全景图片可能包含多个已准入目标空间，每个目标对应自己的参考布局。原答先确定目标空间，再与该空间参考比较；同图不同目标的范围选择与同目标内部的结构误差分别研究。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Manhattan 是墙面方向近似正交的约束。本任务在此基础上还要求主地面、主顶面、单室目标和闭合环表示；这些是本任务额外采用的表示条件，不是 Manhattan 本身。OOS（Out-of-Scope，超出标注标准）指场景不符合当前布局表示；按斜墙、斜顶、顶底多标高等实际结构因素分类，视觉线索不足的记录不作归因。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门洞交界指相机在门框正下方或两个区域交界处拍摄。两侧房间可以各自满足 Manhattan 约束，但相机落在所选单室的封口边界时，严格单室闭合表示与真实拍摄位置不相容；人为封口、合并两室或忽略门楣会改变几何或目标。门洞与 OOS 分别记录，可以重叠。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3.3　不确定性的来源、观察量与结果评价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不确定性的来源是图片条件与人员差异。观察量包括原答分歧、融合后的 Q 与分项、同人数换组波动、低分尾部、结构变化与失败率；记录时间是成本。来源、观察量和结果评价可以一起研究，但不是并列的六种不确定性。OOS 的近似表达单独描述；人员正确性排名只在受约束 GT 有效的范围内进行。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第四章　方法与实验设计（Methods）</w:t>
      </w:r>
    </w:p>
    <w:p>
      <w:pPr>
        <w:pStyle w:val="Heading2"/>
      </w:pPr>
      <w:r>
        <w:t>4.1　人工全景布局的质量评价方法</w:t>
      </w:r>
    </w:p>
    <w:p>
      <w:pPr/>
      <w:r>
        <w:t>质量工作分 Q（B8L2）衡量候选布局相对合格参考的几何误差。五项输入分别为底面交并比 I、底边球面角距 S_b、自身方向残差 D_dir、整体均高相对误差 H_m 和局部高度相对误差 H_c。Q 越高，表示相对参考及规整要求的综合误差越小。</w:t>
      </w:r>
    </w:p>
    <w:p>
      <w:pPr/>
      <w:r>
        <w:t>当 I&gt;0 时，底面损失 F=(1/I−1)+S_b²/32；方向损失 L_d=1.5 D_dir²/(D_dir²+8²)；Q=100/[1+√(F²+L_d²)+(H_m/0.8)²+(H_c/0.25)²]。I=0 时 Q 取连续极限 0；缺参考、缺输入或评价不适用时记为缺失。D10 只将方向尺度从 8° 改为 10°。</w:t>
      </w:r>
    </w:p>
    <w:p>
      <w:pPr/>
      <w:r>
        <w:t>参考选择优先遵循人工明确指定；只限定候选族时在该族内选择。自动归属先比较候选范围特有的墙段、转折和区域；证据不足时使用底面重合度及边界距离。最终 Q、顶高和人员身份不参与选择。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4.2　异构布局的完整结构共识方法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给出跨人员墙线身份对应、全团队半数支持（MV50）的结构保留判断、来源等权的中位位置、来源候选环和有效布局检查。对应、票数、定位和连接分别保留诊断记录；自动输出与人工辅助的评价边界一并说明。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4.3　人员结构表达分类与共识响应画像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人员结构表达分类（DSTRUCT）以非冗余转折、短边、近共线点和参考对应缺失为输入，不使用 Q 或记录时间 T。3 类粒度区分三种标法：困难转折较少且近共线冗余较多、常规或较简化、困难时保留较多非冗余转折；2 类粒度给出粗分。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2 类与 3 类在高转折方向上保持一致。所选严格 ABC 主效果检验高转折方向的分类用途，另外两个角色的价值结合原答特征解释。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融合响应分类（RFUSE）解释人员对当前融合结构与几何的响应：几何版本取 2 类，几何与质量联合版本取 3 类。全名单用于总体描述，排除目标建筑历史的名单用于换人与选人研究。质量、质量＋时间、边界及跨采集条件的联合分类，按各自分析对象使用。</w:t>
      </w:r>
    </w:p>
    <w:p>
      <w:pPr/>
      <w:r>
        <w:t>DSTRUCT 是本文的主要解释分类，输入对应原答的结构取舍与难度响应。它的用途结合三类证据判断：人员的实际标法、不同配比下的团队结果，以及同类和跨类替换的幅度与方向。每次建类排除目标建筑的历史信息。RFUSE 根据当前融合结果补充解释人员对结构和位置的影响；其他分类用于质量、劳动、边界或跨采集条件的研究。各分类服务于各自的问题。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4.4　对照方法与实验设计</w:t>
      </w:r>
    </w:p>
    <w:p>
      <w:pPr/>
      <w:r>
        <w:t>质量基线采用均高棱柱 3D IoU、几何边界及逐列布局深度等指标；共识基线采用完整原答 medoid 和 Lee 底面区域路线。质量与几何比较使用各指标实际可用的共同团队。真实融合失败率以适用且已执行的尝试为分母；缺参考、不适用、延期和未计算分别记录。Lee 输出底面，按底面指标评价；OOS 布局可以描述结构与范围，正式 Q 不适用。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人员实验依次区分完整配比、同配比成员差异和严格匹配的 ABC 替换，再研究固定原队扩块与固定替换块增背景。自然随机进入顺序用于人数过程，同房相同成员块用于跨视角对照。</w:t>
      </w:r>
    </w:p>
    <w:p>
      <w:pPr/>
      <w:r>
        <w:t>人员池按图片、采集条件和目标空间共同确定。自然人数曲线在同一目标的人员池内抽样；跨目标混合团队需要另行设计与评价，当前分空间结果不作为其替代。</w:t>
      </w:r>
    </w:p>
    <w:p>
      <w:pPr>
        <w:pStyle w:val="Caption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表 1　人员实验的控制与变化</w:t>
      </w:r>
    </w:p>
    <w:tbl>
      <w:tblPr>
        <w:tblW w:type="auto" w:w="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1814"/>
        <w:gridCol w:w="2835"/>
        <w:gridCol w:w="2438"/>
        <w:gridCol w:w="1644"/>
      </w:tblGrid>
      <w:tr>
        <w:trPr>
          <w:cantSplit/>
          <w:tblHeader/>
        </w:trPr>
        <w:tc>
          <w:tcPr>
            <w:tcW w:type="dxa" w:w="1814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实验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保持不变</w:t>
            </w:r>
          </w:p>
        </w:tc>
        <w:tc>
          <w:tcPr>
            <w:tcW w:type="dxa" w:w="2438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改变什么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回答什么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完整有限配比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图片、背景、候选池与总人数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选入的具体成员及其类别构成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配比差异和同配比成员分布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严格 ABC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图片、n、m 及相同背景 D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同类 X／Y 与目标 Z 块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同类和跨类替换幅度、方向的对照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固定原队扩大替换块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图片、原队与总人数 n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替换人数 m 及保留成员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同一次替换操作随规模怎样变化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固定 XYZ 增加背景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图片及三个替换块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D、n、替换比例和门槛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同一块人员在不同背景下怎样起作用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固定团队改变门槛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全部实际成员及其原答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结构保留票数阈值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某次变化能否由离散选留机制解释</w:t>
            </w:r>
          </w:p>
        </w:tc>
      </w:tr>
    </w:tbl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记 n 为团队人数、m 为实际替换人数，则替换比例 r=m/n，共同背景人数为 n−m；MV50 门槛为 ceil(n/2)。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完整配比分析固定图片、背景和候选成员，从 12 名候选中选 6 人，完整枚举 924 支团队。对每个指标的有效团队等权分解总方差、构成间方差与同构成内方差；配比格按实际有效团队数量加权。跨面板先在图内平均，再在建筑内平均，最后建筑等权；占比由聚合后的方差求比。</w:t>
      </w:r>
    </w:p>
    <w:p>
      <w:pPr/>
      <w:r>
        <w:t>同一有效团队分布内，总方差等于配比均值之间的方差与同配比内方差之和；总方差为零时比例未定义。严格 ABC 的同类幅度为 |Q_B−Q_A|，跨类幅度为 (|Q_C−Q_A|+|Q_C−Q_B|)/2；有符号 C−B 另行说明变化方向。路径内不同人数的团队相关，增加随机顺序主要改善估计精度。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ABC 设计如下：A=D+X 为原队，B=D+Y 为同类对照，C=D+Z 为跨类队；D 为三队相同的保留人员，X、Y、Z 是互不重叠、各 m 人的替换块，X 与 Y 按设计具有相同类别构成。n 为每队人数，严格三队比较共需 n+2m 名不同人员；35 人池换 7 人时每队至多 21 人。自然人数曲线使用全部人员到满员。最终输出还受位置估计与连接影响。</w:t>
      </w:r>
    </w:p>
    <w:p>
      <w:pPr>
        <w:pStyle w:val="Heading3"/>
      </w:pPr>
      <w:r>
        <w:t>人数曲线的抽样与统计</w:t>
      </w:r>
    </w:p>
    <w:p>
      <w:pPr/>
      <w:r>
        <w:t>人数曲线以每张图片的实际人员池为基础。对人员作均匀随机排列，在每条顺序中取前 n 人组成团队，用这些人的原答按冻结算法生成共识。一次排列中每人只进入一次；不同排列可能得到相同团队。相同团队的融合结果可以复用，统计时仍保留其被抽中的次数。</w:t>
      </w:r>
    </w:p>
    <w:p>
      <w:pPr/>
      <w:r>
        <w:t>v2.1 原主目标的普通及门洞 Manual 自然曲线覆盖 223 个池，每池采用 256 条顺序；原有 194 池的顺序由旧 48 条与独立追加的两批各 104 条合并。其他已准入目标的 31 池另用每池 256 条顺序，包含 30 个 Manual 池与 1 个 Semi 池。256 是随机顺序数，重抽次数另计。完整有限目录按团队等权计算精确边际；其他 Semi 结果按各自实际版本报告。</w:t>
      </w:r>
    </w:p>
    <w:p>
      <w:pPr/>
      <w:r>
        <w:t>每张图片在固定人数下，先统计可评分团队的平均质量、第 10 百分位数（P10）和标准差；实际融合失败按适用且已执行的尝试计算，其他不可评分状态分别记录。总体或难度组先计算各图统计量，再对固定图片集合等权平均。P10 曲线因而是各图团队质量 P10 的平均值。比较不同人数时，保持图片集合一致，并报告实际可评分图数。</w:t>
      </w:r>
    </w:p>
    <w:p>
      <w:pPr/>
      <w:r>
        <w:t>历史进入策略另用 32 条配对基础顺序，比较同一基础顺序下的自然进入与角色优先进入；这组路径与自然人数的 256 条顺序分别报告。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4.5　研究问题、分析对象与证据对应</w:t>
      </w:r>
    </w:p>
    <w:p>
      <w:pPr>
        <w:pStyle w:val="Caption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表 2　研究问题、分析对象与证据的对应关系</w:t>
      </w:r>
    </w:p>
    <w:tbl>
      <w:tblPr>
        <w:tblW w:type="auto" w:w="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041"/>
        <w:gridCol w:w="2778"/>
        <w:gridCol w:w="2551"/>
        <w:gridCol w:w="1361"/>
      </w:tblGrid>
      <w:tr>
        <w:trPr>
          <w:cantSplit/>
          <w:tblHeader/>
        </w:trPr>
        <w:tc>
          <w:tcPr>
            <w:tcW w:type="dxa" w:w="2041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研究问题</w:t>
            </w:r>
          </w:p>
        </w:tc>
        <w:tc>
          <w:tcPr>
            <w:tcW w:type="dxa" w:w="2778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分析对象与分类口径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主要证据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对应小节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图片结构条件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原答结构变量与粗难度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固定六个有效转折的图片；同一人员跨条件标法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5.3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自然人数与进入策略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自然混合池与人员画像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人数前缀、Q 低分尾部、波动与记录时间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5.4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质量测量增加什么信息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控制变量、真人同参考原答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B8L2、D10、均高 3D IoU、逐列深度及人工材料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5.1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异构布局怎样形成完整共识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同一实际团队，按方法输出职责比较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墙线、完整原答 medoid、Lee 共同面板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完整配比与构成内成员波动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旧四分类；普通 Manual 的 DSTRUCT K2／K3 衔接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原 336 面板；新标签衔接其中 231 个 Manual 面板，配比分布与构成间／内方差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5.5.2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严格 ABC 大块替换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结构表达分类的 2 类与 3 类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固定 n 与 m 的同类及跨类替换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5.5.2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共识响应角色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融合响应分类 GEOM 与 GEOMQ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团队支持票、结构与定位响应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5.5.3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同房跨视角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各视角对应的人员分类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房间均值、个人表现、同一成员调整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5.6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门洞与 OOS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视点—目标—表示关系；OOS 表示适配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闭合冲突、近似表达、人数结果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5.7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第五章　实验结果（Results）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5.1　质量评价的增量信息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质量评价的增量由两个问题界定：面对人工布局的不同缺陷，新评价比既有指标多识别了什么；哪些判断不在它的范围内。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既有受控对照固定底面，分别改变整体高度或局部高度；范围、短结构和方向实验各自说明改变的几何量、保持的条件及适用指标。B8L2、均高棱柱 IoU、逐列布局深度与相关几何量并列呈现。局部高低抵消实例中，均高 IoU 保持 1，B8L2 与逐列深度均有响应，由此说明各项测量保留的信息。体积重叠对小而必要的结构变化不敏感，这类缺陷需结合分项、逐列深度与人工判断定位。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真人同图同参考标注对中，指标分歧与对应原图用于解释具体缺陷。25 对人工审查中，10 个方向明确、3 个两者接近、12 个各有问题或无法判断；这些材料说明指标取舍和判断边界。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多分项质量评价解释人工布局误差，并与重叠率、逐列深度及人工判断互补；其价值体现在测量对象、缺陷响应与解释能力。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质量刻度对人员分析的影响单列：10° 方向容差评分既用于固定端点重评分，也用于重新形成联合分类和选人。基于全部历史标注的人员分区保持稳定，排除目标建筑历史后的分区与具体选人发生变化，Semi 的联合分类更敏感。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5.2　完整结构共识与原答选择、区域聚合的比较</w:t>
      </w:r>
    </w:p>
    <w:p>
      <w:pPr/>
      <w:r>
        <w:t>完整共识方法从不同人员的原答构造布局。比较中分别考察输出完整性和共同可评分团队的质量，并与选择完整原答的 medoid 及底面区域聚合结果对照。</w:t>
      </w:r>
    </w:p>
    <w:p>
      <w:pPr/>
      <w:r>
        <w:t>更新参考后的共同面板包含 48 个池、138 支固定团队；墙线、完整原答 medoid 与 Lee 方法沿用原几何并更新受影响评分。完整布局评价与 Lee 的底面评价按各自输出职责比较，实际输出状态另列。</w:t>
      </w:r>
    </w:p>
    <w:p>
      <w:pPr/>
      <w:r>
        <w:t>普通 Manual 的共同可评团队中，4 人时墙线法相对 medoid 平均 Q 高 7.109 分；16 人时平均低 5.567 分。完整率、底面表现和共同可评支持与质量差一起解释。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固定团队案例解析对应、投票门槛、位置中位数和连接，说明增加人员可能导致结构失选，同样角点数也可能产生不同定位和质量，局部结构虽获支持仍可能连接失败。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5.3　图片结构条件对原始标注的影响</w:t>
      </w:r>
    </w:p>
    <w:p>
      <w:pPr>
        <w:pStyle w:val="Heading3"/>
      </w:pPr>
      <w:r>
        <w:t>同图不同目标的范围选择</w:t>
      </w:r>
    </w:p>
    <w:p>
      <w:pPr/>
      <w:r>
        <w:t>同一图中，人员可能分别标出两个已准入目标。e9z-09 的 35 份作答中，26 份归新空间、9 份归原参考空间；这首先是目标范围差异。确定目标后，再比较各空间内的结构保留、位置和高度。其他空间的 31 个合格池独立计算人数曲线，跨目标混队尚未开展。</w:t>
      </w:r>
    </w:p>
    <w:p>
      <w:pPr>
        <w:pStyle w:val="Heading3"/>
      </w:pPr>
      <w:r>
        <w:t>短边、自遮挡与结构简化</w:t>
      </w:r>
    </w:p>
    <w:p>
      <w:pPr/>
      <w:r>
        <w:t>既有 v2 固定六转折研究包含 33 张图、1,023 份 Manual 作答。无短边且无几何自遮挡、有短边但无几何自遮挡、存在几何自遮挡三组的图片等权简化率分别为 10.7%、29.8% 和 55.7%；这组比较保留原实验版本。</w:t>
      </w:r>
    </w:p>
    <w:p>
      <w:pPr/>
      <w:r>
        <w:t>在该 v2 研究中，短边对照有 32/47 人的简化增加；几何自遮挡对照有 36/47 人增加。结合原答展示短边和局部线索怎样影响结构取舍。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即使参考有效转折数相同，结构条件仍对应明显不同的简化倾向。几何自遮挡按声明模型判定为代理变量；表达简化与漏标真实必要结构分别解释。</w:t>
      </w:r>
    </w:p>
    <w:p>
      <w:pPr/>
      <w:r>
        <w:t>同用途预测作为补充结果：v2.1 跨建筑用途支持的 190 张图上，几何基线的图片平均 Q 预测 MAE 为 5.158，加入用途后为 5.379。用途和标注条件的关系继续保留；旧 v2 的正向增量作为历史结果，不写成当前稳定收益。</w:t>
      </w:r>
    </w:p>
    <w:p>
      <w:pPr/>
      <w:r>
        <w:t>旧 v2 的 63 对快慢人员中，困难相对简单时，42 对的转折表达差和 44 对的短边表达差向慢者扩大；此比较保留原数据身份，正文引用前核对 v2.1 的对应支持。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5.4　人数增长、进入顺序与结果稳定性</w:t>
      </w:r>
    </w:p>
    <w:p>
      <w:pPr/>
      <w:r>
        <w:t>v2.1 保留人数过程的主要趋势。固定原 27 张困难图，从 20 人增至 30 人时，平均 Q 变化较小，低尾和换组稳定性继续改善。可评分质量与实际融合失败率分别统计。</w:t>
      </w:r>
    </w:p>
    <w:p>
      <w:pPr/>
      <w:r>
        <w:t>原主目标普通 Manual 的固定 N≥30 队列包括 171 张图，其中原有 157 张、新增参考 14 张；原有、新增及合并结果分别报告。其他目标的 31 个池容量为 3—17 人，按各自目标独立统计。各人数点报告可评分 Q、P10、标准差、几何波动和实际失败率。</w:t>
      </w:r>
    </w:p>
    <w:p>
      <w:pPr/>
      <w:r>
        <w:t>固定原主目标的 171 张普通 Manual 图，3→6 人平均可评分 Q 提高 4.739 分；实际融合失败率平均增加 1.894 个百分点。20→30 人平均 Q 提高 0.500 分，逐图 P10 平均提高 2.848 分，图内标准差降低 2.031 分。</w:t>
      </w:r>
    </w:p>
    <w:p>
      <w:pPr/>
      <w:r>
        <w:t>固定原有 27 张困难图，20→30 人平均 Q 变化为 −0.174 分，P10 提高 4.248 分，图内 Q 标准差降低 4.676 分。其他目标中容量至少为 6 的普通 Manual 池有 15 池、14 图；3→6 人平均可评分 Q 由 53.98 升至 62.47，实际未形成率由 8.29% 升至 13.07%。</w:t>
      </w:r>
    </w:p>
    <w:p>
      <w:pPr/>
      <w:r>
        <w:t>历史 V3 角色的 32 条配对基础顺序按原有与新增参考图片分别比较。原有 153 图中，高历史 Q 优先平均提高 7.410 分，145 图为正；多转折优先提高 6.265 分，133 图为正。新增参考的 26 图中，两者分别为 −1.101 和 −0.448 分。策略 k=2 仍未执行。</w:t>
      </w:r>
    </w:p>
    <w:p>
      <w:pPr/>
      <w:r>
        <w:t>两人团队在自然路径上另行实际聚合：原主目标 223 池、57,088 条路径得到 43,257 支不同成员对。固定 N≥30 的普通 Manual 171 图，两人平均 Q 为 74.47；同路径 1→2 和 2→3 的可评平均变化分别为 +4.23 和 +3.61 分，各自使用共同可评分路径。两人 MV50 一票即可保留候选。记录劳动比较只使用各策略自身同源支持。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5.5　人员结构分类与团队构成对共识的影响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5.5.1　分类依据、名单与实际标法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人员结构表达分类按分类依据、人员名单、同图实际标法与团队响应的顺序呈现。三类人数 8/39/12 为全历史 ALL 描述名单，另有 3 人缺少分类支持；实验使用对应目标建筑的楼外名单。每个训练折内，2 类与 3 类的高转折成员一致；跨折时成员和人数会变化。同图原答展示转折、短边、近共线冗余和位置差别，并连接该方向的匹配替换结果。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5.5.2　配比、成员与严格 ABC</w:t>
      </w:r>
    </w:p>
    <w:p>
      <w:pPr>
        <w:pStyle w:val="Caption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表 3　分类方法与证据的对应关系</w:t>
      </w:r>
    </w:p>
    <w:tbl>
      <w:tblPr>
        <w:tblW w:type="auto" w:w="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381"/>
        <w:gridCol w:w="3628"/>
        <w:gridCol w:w="2721"/>
      </w:tblGrid>
      <w:tr>
        <w:trPr>
          <w:cantSplit/>
          <w:tblHeader/>
        </w:trPr>
        <w:tc>
          <w:tcPr>
            <w:tcW w:type="dxa" w:w="2381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分类方法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回答的问题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当前用途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Manual 结构三类（6/34/19）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结构表达与“怎样标”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历史完整配比、人数与同房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Manual 结构＋Q/T 五类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质量—时间—表达角色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历史完整配比、选队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Semi 结构类／联合类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Semi 自身表达与效率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次要对照与同房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DSTRUCT K3/K2（8/39/12）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困难结构表达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原答与难度解释；同团队完整配比与方差；严格 ABC 及固定块背景路径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RFUSE GEOM／GEOMQ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团队共识响应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5.5.3 机制解释</w:t>
            </w:r>
          </w:p>
        </w:tc>
      </w:tr>
    </w:tbl>
    <w:p>
      <w:pPr/>
      <w:r>
        <w:t>v2.1 沿用原 231 个普通 Manual 有限面板，覆盖 40 图、22 楼；每个面板固定背景，从 12 名候选者中选 6 人，枚举 924 支团队。固定旧标签重评分与当前楼外标签重聚合分别保存；其他已准入目标尚未全部进入 DSTRUCT 的完整研究链。</w:t>
      </w:r>
    </w:p>
    <w:p>
      <w:pPr/>
      <w:r>
        <w:t>当前 DSTRUCT K3 的 Q 总方差中，配比之间占 13.41%，同一配比内占 86.59%。固定旧标签、更新 Q 的配比间占比为 14.37%。类别比例解释一部分团队差异，同一配比内更换成员仍会改变结果；这两个比例对应不同标签条件。</w:t>
      </w:r>
    </w:p>
    <w:p>
      <w:pPr/>
      <w:r>
        <w:t>旧 v2 的 7y-21 面板展示同配比内成员分布，可作为历史读图实例；其数值和标签不直接替代当前 v2.1 面板结果。</w:t>
      </w:r>
    </w:p>
    <w:p>
      <w:pPr/>
      <w:r>
        <w:t>完整配比比较同一面板内的人员比例和成员差异；严格 ABC 则在同图、同人数、同替换规模和相同背景下，对照同类与跨类替换。</w:t>
      </w:r>
    </w:p>
    <w:p>
      <w:pPr/>
      <w:r>
        <w:t>当前楼外 DSTRUCT 名单中，18 人换 7 人，从人数最多类换入高转折类时，同类替换的 Q 平均变化幅度为 3.445 分，跨类为 6.950 分；33 图中 26 图跨类幅度更大。固定旧标签和旧团队的 40 图重评分另为 3.420 和 6.345 分，30 图跨类更大。</w:t>
      </w:r>
    </w:p>
    <w:p>
      <w:pPr/>
      <w:r>
        <w:t>变化幅度与有符号 Q 差分别描述差距和升降；不同指标使用各自的共同可评分支持。当前名单的 33 图与旧团队的 40 图不直接相减。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5.5.3　共识响应解释</w:t>
      </w:r>
    </w:p>
    <w:p>
      <w:pPr/>
      <w:r>
        <w:t>融合响应分类用于查看同一批人员怎样改变结构和位置。当前 18/7 的 33 图中，7 图的跨类 Q 幅度未超过同类；其中 5 图两者差距不足 1 分。反例保留各自团队、目标楼外标签与共同可评支持。</w:t>
      </w:r>
    </w:p>
    <w:p>
      <w:pPr/>
      <w:r>
        <w:t>Z6-10 的 24 支可比团队 Q 为 96.07—99.17，同类与跨类变化分别约为 0.97 和 0.89 分，呈现高分集中。X7-19 的 24 队 Q 为 70.72—74.82，同类与跨类变化约为 1.24 和 0.95 分；相近结果仍需检查共同偏差。</w:t>
      </w:r>
    </w:p>
    <w:p>
      <w:pPr/>
      <w:r>
        <w:t>jh4-04 的一个登记事件中，A、B、C 三队 Q 分别为 46.00、76.61 和 60.98；C 的底面 IoU 高于 B，但方向误差较大，Q 落在 A、B 之间。候选结构分别获得 8、8、11 票，18 人团队的门槛为 9 票。这个实例同时展示几何与总分的分项权衡及临界票数；其余反例并非都由门槛筛除造成。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5.5.4　替换规模与团队背景</w:t>
      </w:r>
    </w:p>
    <w:p>
      <w:pPr/>
      <w:r>
        <w:t>旧 TURN3 固定原队扩块结果保留历史分类和同房身份；当前参考或标签下的比较分别按各自源表报告。</w:t>
      </w:r>
    </w:p>
    <w:p>
      <w:pPr/>
      <w:r>
        <w:t>同一替换块加入不同背景后，结构支持与定位可能改变。固定旧成员路径和当前标签重新选队属于不同实验，分别解释。</w:t>
      </w:r>
    </w:p>
    <w:p>
      <w:pPr/>
      <w:r>
        <w:t>DSTRUCT 固定同一组 7 人替换块，逐步增加共同背景，得到 10、14、20、21 人团队。四个规模的替换比例依次为 70%、50%、35% 和 33.3%；MV50 门槛分别为 5、7、10 和 11 票。随着背景人数增加，替换比例和投票门槛也随之变化。</w:t>
      </w:r>
    </w:p>
    <w:p>
      <w:pPr>
        <w:pStyle w:val="Caption"/>
      </w:pPr>
      <w:r>
        <w:t>表 4　原固定团队的 v2.1 Q 变化幅度（18/7 为原 40 图保留建筑检查）</w:t>
      </w:r>
    </w:p>
    <w:tbl>
      <w:tblPr>
        <w:tblW w:type="auto" w:w="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1701"/>
        <w:gridCol w:w="1247"/>
        <w:gridCol w:w="1361"/>
        <w:gridCol w:w="113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tcBorders>
              <w:bottom w:val="single" w:sz="6" w:space="0" w:color="000000"/>
            </w:tcBorders>
            <w:vAlign w:val="center"/>
          </w:tcPr>
          <w:p>
            <w:r>
              <w:t>团队／替换人数（支持见正文）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替换比例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共同背景人数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MV50 门槛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同类 Q 幅度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跨类 Q 幅度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10／7</w:t>
            </w:r>
          </w:p>
        </w:tc>
        <w:tc>
          <w:tcPr>
            <w:tcW w:type="dxa" w:w="1247"/>
            <w:vAlign w:val="center"/>
          </w:tcPr>
          <w:p>
            <w:r>
              <w:t>70.0%</w:t>
            </w:r>
          </w:p>
        </w:tc>
        <w:tc>
          <w:tcPr>
            <w:tcW w:type="dxa" w:w="1361"/>
            <w:vAlign w:val="center"/>
          </w:tcPr>
          <w:p>
            <w:r>
              <w:t>3</w:t>
            </w:r>
          </w:p>
        </w:tc>
        <w:tc>
          <w:tcPr>
            <w:tcW w:type="dxa" w:w="1134"/>
            <w:vAlign w:val="center"/>
          </w:tcPr>
          <w:p>
            <w:r>
              <w:t>5</w:t>
            </w:r>
          </w:p>
        </w:tc>
        <w:tc>
          <w:tcPr>
            <w:tcW w:type="dxa" w:w="1644"/>
            <w:vAlign w:val="center"/>
          </w:tcPr>
          <w:p>
            <w:r>
              <w:t>4.86</w:t>
            </w:r>
          </w:p>
        </w:tc>
        <w:tc>
          <w:tcPr>
            <w:tcW w:type="dxa" w:w="1644"/>
            <w:vAlign w:val="center"/>
          </w:tcPr>
          <w:p>
            <w:r>
              <w:t>7.23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14／7</w:t>
            </w:r>
          </w:p>
        </w:tc>
        <w:tc>
          <w:tcPr>
            <w:tcW w:type="dxa" w:w="1247"/>
            <w:vAlign w:val="center"/>
          </w:tcPr>
          <w:p>
            <w:r>
              <w:t>50.0%</w:t>
            </w:r>
          </w:p>
        </w:tc>
        <w:tc>
          <w:tcPr>
            <w:tcW w:type="dxa" w:w="1361"/>
            <w:vAlign w:val="center"/>
          </w:tcPr>
          <w:p>
            <w:r>
              <w:t>7</w:t>
            </w:r>
          </w:p>
        </w:tc>
        <w:tc>
          <w:tcPr>
            <w:tcW w:type="dxa" w:w="1134"/>
            <w:vAlign w:val="center"/>
          </w:tcPr>
          <w:p>
            <w:r>
              <w:t>7</w:t>
            </w:r>
          </w:p>
        </w:tc>
        <w:tc>
          <w:tcPr>
            <w:tcW w:type="dxa" w:w="1644"/>
            <w:vAlign w:val="center"/>
          </w:tcPr>
          <w:p>
            <w:r>
              <w:t>3.77</w:t>
            </w:r>
          </w:p>
        </w:tc>
        <w:tc>
          <w:tcPr>
            <w:tcW w:type="dxa" w:w="1644"/>
            <w:vAlign w:val="center"/>
          </w:tcPr>
          <w:p>
            <w:r>
              <w:t>6.39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18／7</w:t>
            </w:r>
          </w:p>
        </w:tc>
        <w:tc>
          <w:tcPr>
            <w:tcW w:type="dxa" w:w="1247"/>
            <w:vAlign w:val="center"/>
          </w:tcPr>
          <w:p>
            <w:r>
              <w:t>38.9%</w:t>
            </w:r>
          </w:p>
        </w:tc>
        <w:tc>
          <w:tcPr>
            <w:tcW w:type="dxa" w:w="1361"/>
            <w:vAlign w:val="center"/>
          </w:tcPr>
          <w:p>
            <w:r>
              <w:t>11</w:t>
            </w:r>
          </w:p>
        </w:tc>
        <w:tc>
          <w:tcPr>
            <w:tcW w:type="dxa" w:w="1134"/>
            <w:vAlign w:val="center"/>
          </w:tcPr>
          <w:p>
            <w:r>
              <w:t>9</w:t>
            </w:r>
          </w:p>
        </w:tc>
        <w:tc>
          <w:tcPr>
            <w:tcW w:type="dxa" w:w="1644"/>
            <w:vAlign w:val="center"/>
          </w:tcPr>
          <w:p>
            <w:r>
              <w:t>3.42</w:t>
            </w:r>
          </w:p>
        </w:tc>
        <w:tc>
          <w:tcPr>
            <w:tcW w:type="dxa" w:w="1644"/>
            <w:vAlign w:val="center"/>
          </w:tcPr>
          <w:p>
            <w:r>
              <w:t>6.34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20／7</w:t>
            </w:r>
          </w:p>
        </w:tc>
        <w:tc>
          <w:tcPr>
            <w:tcW w:type="dxa" w:w="1247"/>
            <w:vAlign w:val="center"/>
          </w:tcPr>
          <w:p>
            <w:r>
              <w:t>35.0%</w:t>
            </w:r>
          </w:p>
        </w:tc>
        <w:tc>
          <w:tcPr>
            <w:tcW w:type="dxa" w:w="1361"/>
            <w:vAlign w:val="center"/>
          </w:tcPr>
          <w:p>
            <w:r>
              <w:t>13</w:t>
            </w:r>
          </w:p>
        </w:tc>
        <w:tc>
          <w:tcPr>
            <w:tcW w:type="dxa" w:w="1134"/>
            <w:vAlign w:val="center"/>
          </w:tcPr>
          <w:p>
            <w:r>
              <w:t>10</w:t>
            </w:r>
          </w:p>
        </w:tc>
        <w:tc>
          <w:tcPr>
            <w:tcW w:type="dxa" w:w="1644"/>
            <w:vAlign w:val="center"/>
          </w:tcPr>
          <w:p>
            <w:r>
              <w:t>3.17</w:t>
            </w:r>
          </w:p>
        </w:tc>
        <w:tc>
          <w:tcPr>
            <w:tcW w:type="dxa" w:w="1644"/>
            <w:vAlign w:val="center"/>
          </w:tcPr>
          <w:p>
            <w:r>
              <w:t>5.43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21／7</w:t>
            </w:r>
          </w:p>
        </w:tc>
        <w:tc>
          <w:tcPr>
            <w:tcW w:type="dxa" w:w="1247"/>
            <w:vAlign w:val="center"/>
          </w:tcPr>
          <w:p>
            <w:r>
              <w:t>33.3%</w:t>
            </w:r>
          </w:p>
        </w:tc>
        <w:tc>
          <w:tcPr>
            <w:tcW w:type="dxa" w:w="1361"/>
            <w:vAlign w:val="center"/>
          </w:tcPr>
          <w:p>
            <w:r>
              <w:t>14</w:t>
            </w:r>
          </w:p>
        </w:tc>
        <w:tc>
          <w:tcPr>
            <w:tcW w:type="dxa" w:w="1134"/>
            <w:vAlign w:val="center"/>
          </w:tcPr>
          <w:p>
            <w:r>
              <w:t>11</w:t>
            </w:r>
          </w:p>
        </w:tc>
        <w:tc>
          <w:tcPr>
            <w:tcW w:type="dxa" w:w="1644"/>
            <w:vAlign w:val="center"/>
          </w:tcPr>
          <w:p>
            <w:r>
              <w:t>2.84</w:t>
            </w:r>
          </w:p>
        </w:tc>
        <w:tc>
          <w:tcPr>
            <w:tcW w:type="dxa" w:w="1644"/>
            <w:vAlign w:val="center"/>
          </w:tcPr>
          <w:p>
            <w:r>
              <w:t>5.96</w:t>
            </w:r>
          </w:p>
        </w:tc>
      </w:tr>
    </w:tbl>
    <w:p>
      <w:pPr/>
      <w:r>
        <w:t>固定旧标签与团队、使用 v2.1 参考评分时，10、14、20、21 人路径点的跨类幅度分别有 38/57、42/57、42/57、43/57 图更大。各点的共同可评分图片未必相同；跨人数效应使用同路径共同支持。</w:t>
      </w:r>
    </w:p>
    <w:p>
      <w:pPr/>
      <w:r>
        <w:t>14 人换 7 人时，三队保留相同的 7 人背景。原固定成员路径下，同类 Q 平均变化幅度为 3.767 分，跨类为 6.389 分；57 张共同可评分图中 42 张跨类更大。50% 是本次替换规模。</w:t>
      </w:r>
    </w:p>
    <w:p>
      <w:pPr>
        <w:pStyle w:val="Caption"/>
      </w:pPr>
      <w:r>
        <w:t>表 5　v2.1 固定原团队的 14 人换 7 人</w:t>
      </w:r>
    </w:p>
    <w:tbl>
      <w:tblPr>
        <w:tblW w:type="auto" w:w="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1701"/>
        <w:gridCol w:w="1531"/>
        <w:gridCol w:w="1531"/>
        <w:gridCol w:w="1531"/>
        <w:gridCol w:w="1134"/>
        <w:gridCol w:w="1304"/>
      </w:tblGrid>
      <w:tr>
        <w:trPr>
          <w:cantSplit/>
          <w:tblHeader/>
        </w:trPr>
        <w:tc>
          <w:tcPr>
            <w:tcW w:type="dxa" w:w="1701"/>
            <w:tcBorders>
              <w:bottom w:val="single" w:sz="6" w:space="0" w:color="000000"/>
            </w:tcBorders>
            <w:vAlign w:val="center"/>
          </w:tcPr>
          <w:p>
            <w:r>
              <w:t>检查范围</w:t>
            </w:r>
          </w:p>
        </w:tc>
        <w:tc>
          <w:tcPr>
            <w:tcW w:type="dxa" w:w="1531"/>
            <w:tcBorders>
              <w:bottom w:val="single" w:sz="6" w:space="0" w:color="000000"/>
            </w:tcBorders>
            <w:vAlign w:val="center"/>
          </w:tcPr>
          <w:p>
            <w:r>
              <w:t>同类 Q 幅度</w:t>
            </w:r>
          </w:p>
        </w:tc>
        <w:tc>
          <w:tcPr>
            <w:tcW w:type="dxa" w:w="1531"/>
            <w:tcBorders>
              <w:bottom w:val="single" w:sz="6" w:space="0" w:color="000000"/>
            </w:tcBorders>
            <w:vAlign w:val="center"/>
          </w:tcPr>
          <w:p>
            <w:r>
              <w:t>跨类 Q 幅度</w:t>
            </w:r>
          </w:p>
        </w:tc>
        <w:tc>
          <w:tcPr>
            <w:tcW w:type="dxa" w:w="1531"/>
            <w:tcBorders>
              <w:bottom w:val="single" w:sz="6" w:space="0" w:color="000000"/>
            </w:tcBorders>
            <w:vAlign w:val="center"/>
          </w:tcPr>
          <w:p>
            <w:r>
              <w:t>跨类额外幅度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  <w:vAlign w:val="center"/>
          </w:tcPr>
          <w:p>
            <w:r>
              <w:t>跨类更大图</w:t>
            </w:r>
          </w:p>
        </w:tc>
        <w:tc>
          <w:tcPr>
            <w:tcW w:type="dxa" w:w="1304"/>
            <w:tcBorders>
              <w:bottom w:val="single" w:sz="6" w:space="0" w:color="000000"/>
            </w:tcBorders>
            <w:vAlign w:val="center"/>
          </w:tcPr>
          <w:p>
            <w:r>
              <w:t>标签与团队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t>全部阶段</w:t>
            </w:r>
          </w:p>
        </w:tc>
        <w:tc>
          <w:tcPr>
            <w:tcW w:type="dxa" w:w="1531"/>
            <w:vAlign w:val="center"/>
          </w:tcPr>
          <w:p>
            <w:r>
              <w:t>3.767</w:t>
            </w:r>
          </w:p>
        </w:tc>
        <w:tc>
          <w:tcPr>
            <w:tcW w:type="dxa" w:w="1531"/>
            <w:vAlign w:val="center"/>
          </w:tcPr>
          <w:p>
            <w:r>
              <w:t>6.389</w:t>
            </w:r>
          </w:p>
        </w:tc>
        <w:tc>
          <w:tcPr>
            <w:tcW w:type="dxa" w:w="1531"/>
            <w:vAlign w:val="center"/>
          </w:tcPr>
          <w:p>
            <w:r>
              <w:t>2.622</w:t>
            </w:r>
          </w:p>
        </w:tc>
        <w:tc>
          <w:tcPr>
            <w:tcW w:type="dxa" w:w="1134"/>
            <w:vAlign w:val="center"/>
          </w:tcPr>
          <w:p>
            <w:r>
              <w:t>42/57</w:t>
            </w:r>
          </w:p>
        </w:tc>
        <w:tc>
          <w:tcPr>
            <w:tcW w:type="dxa" w:w="1304"/>
            <w:vAlign w:val="center"/>
          </w:tcPr>
          <w:p>
            <w:r>
              <w:t>旧标签固定队</w:t>
            </w:r>
          </w:p>
        </w:tc>
      </w:tr>
    </w:tbl>
    <w:p>
      <w:pPr/>
      <w:r>
        <w:t>替换比例描述成员改动的规模；MV50 决定结构保留所需的票数。14/7 的结果沿用旧标签和固定成员，当前标签重选的确认网格不包含另一次 14/7 选队。</w:t>
      </w:r>
    </w:p>
    <w:p>
      <w:pPr/>
      <w:r>
        <w:t>18 人团队换 7 人时，11 名共同背景成员对某个结构不一定投出相同支持；背景有 2—8 票时，替换块可以改变该结构是否达到 9 票门槛。jh4-04 的具体票账与 Q 分项在 5.5.3 说明。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5.5.5　人员构成选择的质量与劳动取舍</w:t>
      </w:r>
    </w:p>
    <w:p>
      <w:pPr/>
      <w:r>
        <w:t>质量与记录劳动的取舍以各策略或选队方案自己的同源 Q/T 共同支持为准。当前 v2.1 选队及 D10 敏感性按对应结果表报告；其他目标空间尚未全部进入受影响选队实验。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5.6　同房跨视角中可重复的人员信息</w:t>
      </w:r>
    </w:p>
    <w:p>
      <w:pPr/>
      <w:r>
        <w:t>同房跨视角分别比较房间公共水平、个人表现和同一成员调整。旧 v2 同房源均值预测 MAE 为 5.081，其他建筑均值为 9.303；该数字保留旧版身份。</w:t>
      </w:r>
    </w:p>
    <w:p>
      <w:pPr/>
      <w:r>
        <w:t>旧 v2 的 123 个直接图对中，105 个图对的人员 Q 排序正相关；当前版本引用时回到对应支持与结果表。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同一批实际成员调整时，严格匹配两视角的 D/X/Y/Z，比较同向、反向、仅单边变化及近零的比例，并结合结构保留与定位案例解释变化方向。</w:t>
      </w:r>
    </w:p>
    <w:p>
      <w:pPr/>
      <w:r>
        <w:t>v2.1 普通同房结构类大块的 78 图对中，CA 双端响应后的同向率为 73.04%，源端响应后的目标同向率为 55.68%；CB 分别为 74.52% 和 57.40%。这些是筛选支持上的回顾性结果。</w:t>
      </w:r>
    </w:p>
    <w:p>
      <w:pPr/>
      <w:r>
        <w:t>同房历史可用于选队；具体收益以版本、目标图与共同支持为条件。</w:t>
      </w:r>
    </w:p>
    <w:p>
      <w:pPr/>
      <w:r>
        <w:t>人数预算同时比较复用已有同房历史与从零建立历史的记录劳动；旧 v2 的成本结果保留历史身份。</w:t>
      </w:r>
    </w:p>
    <w:p>
      <w:pPr/>
      <w:r>
        <w:t>同房的公共水平、个人相对表现和具体成员调整分别回答不同问题。同房研究沿用各实验原有分类标签；旧结构类结果不改称 DSTRUCT 验证。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5.7　门洞交界与 OOS 的表示适配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5.7.1　门洞交界拍摄：Manhattan 房间中的单室表示冲突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相机位于门框正下方或两个区域交界处时，两侧房间可以各自满足 Manhattan 约束。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选定一侧单室并在门口闭合时，相机可能恰在目标边界上，无法满足当前表示所需的内部拍摄条件；移动封口、合并空间或忽略门楣会改变几何或目标，两侧顶底高度还可能无法由单层顶底表示忠实表达。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人员如何处理这一冲突，形成哪些不同的近似，需要按视角结合相机点位、所选目标边界与闭合方式展示。</w:t>
      </w:r>
    </w:p>
    <w:p>
      <w:pPr/>
      <w:r>
        <w:t>v2.1 的门洞 17 图在 6→10 人时，可评分 Q 平均下降 1.009 分；形成输出的机会与平均质量分别解释。实际满员时，17 图中仍有 6 图未形成可评完整结果。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5.7.2　OOS 的近似表达与人员响应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OOS 场景单独呈现：28 图、1,222 份作答。按斜墙、斜顶、顶底多高度、曲线玻璃边界等实际因素展示结构与范围差异；已确认不适配、信息不足和原因待定分别标识。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OOS 回答当前表示遇到不适配场景时人如何响应，结果分为近似表达、范围选择、分歧与失败四类。人员可以形成稳定甚至完整的输出，该输出与真实空间范围的一致性单独判断。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第六章　讨论（Discussion）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6.1　增加人数能够缓解与无法缓解的分歧</w:t>
      </w:r>
    </w:p>
    <w:p>
      <w:pPr/>
      <w:r>
        <w:t>增加人数对均值、低尾、换组波动和失败的影响不同。普通 Manual 初段的可评分质量提高；困难图后段平均 Q 变化较小，低尾与换组稳定性仍改善。共同漏标、目标范围分歧及表示不适配需结合实际结构检查。满员时只剩一个成员集合；指标可用时选择波动为零，布局的质量、结构和失败状态另行判断。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6.2　人员作用取决于图片与团队</w:t>
      </w:r>
    </w:p>
    <w:p>
      <w:pPr/>
      <w:r>
        <w:t>类别在指定人数、替换方向与共同背景下可以拉开团队结果；同一配比内换具体成员也会带来波动。当前 18/7 的 33 图中有 26 图跨类幅度更大，其余 7 图需要结合人员、结构和分项解释。</w:t>
      </w:r>
    </w:p>
    <w:p>
      <w:pPr/>
      <w:r>
        <w:t>共同背景提供的支持票会改变替换结果。18 人团队换 7 人时，MV50 门槛为 9 票：背景已有 9 票，结构即可保留；背景为 0—1 票，即使替换块 7 人全部支持也不足门槛；背景为 2—8 票时，替换块的支持可以改变结构是否入选。实际融合还会重新建立对应、估计位置并连接结构。</w:t>
      </w:r>
    </w:p>
    <w:p>
      <w:pPr/>
      <w:r>
        <w:t>高分集中、共同偏差、同类成员差异与投票门槛对不同图片的作用不同。固定旧人员块的背景路径和当前标签重选实验保留各自身份；相关观察不单独识别人员类型的因果效应。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6.3　稳定、完整、高分与正确表达目标空间的差别</w:t>
      </w:r>
    </w:p>
    <w:p>
      <w:pPr/>
      <w:r>
        <w:t>人员选择哪个目标、结构是否稳定、输出是否完整以及相对参考的 Q 高低，分别回答不同问题。先确认原答对应的已准入目标，再检查结构与质量；不同目标间的比较不直接视为同一目标内的标注误差。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6.4　标注任务的组织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证据支持四类做法：早期质量收益大的阶段增加人员；识别结构角色差异后调整人员构成；出现不稳定结构或连接问题时检查共识票账；遇到门洞或 OOS 时先判断目标范围与当前表示是否相容。部分情形需要调整闭合方式、采集点位或表示，单靠增加人员或澄清范围不够。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6.5　适用边界</w:t>
      </w:r>
    </w:p>
    <w:p>
      <w:pPr/>
      <w:r>
        <w:t>v2.1 主线与其他目标空间补充分开报告。其他目标的难度、DSTRUCT 和受影响选队尚未全部接续；CURRENT 仍为 v2。研究结论还受人员池、参考资格和融合表示条件约束。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第七章　结论（Conclusion）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总结两项独立方法的实际能力，以及从原答、人数、团队构成到跨视角的主要实证发现。多人标注中的变化来自人员如何表达、共识如何选择结构，以及场景与任务条件如何限定这些选择；合理测量并解释这些机制，有助于构建更可靠的全景布局标注流程。人员类别能组织不同的结构表达和共识作用，具体结果由替换块、共同背景和门槛共同形成。</w:t>
      </w:r>
    </w:p>
    <w:p>
      <w:pPr>
        <w:pStyle w:val="Heading1"/>
      </w:pPr>
      <w:r>
        <w:t>补充材料与主要资料来源</w:t>
      </w:r>
    </w:p>
    <w:p>
      <w:r>
        <w:t>补充材料保留条件方差展开、嵌套分区单调性、Jaccard 界、超几何与奇偶门槛推导，以及完整配比、覆盖表和复现说明。人数实验的独立批次比较、蒙特卡洛标准误与分位数精度也放入补充材料。正文保留解释实验所需的定义。</w:t>
      </w:r>
    </w:p>
    <w:p>
      <w:pPr>
        <w:pStyle w:val="Caption"/>
      </w:pPr>
      <w:r>
        <w:t>补充表：当前 DSTRUCT 18/7 的七张反例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t>图片</w:t>
            </w:r>
          </w:p>
        </w:tc>
        <w:tc>
          <w:tcPr>
            <w:tcW w:type="dxa" w:w="1805"/>
          </w:tcPr>
          <w:p>
            <w:r>
              <w:t>难度</w:t>
            </w:r>
          </w:p>
        </w:tc>
        <w:tc>
          <w:tcPr>
            <w:tcW w:type="dxa" w:w="1805"/>
          </w:tcPr>
          <w:p>
            <w:r>
              <w:t>同类幅度</w:t>
            </w:r>
          </w:p>
        </w:tc>
        <w:tc>
          <w:tcPr>
            <w:tcW w:type="dxa" w:w="1805"/>
          </w:tcPr>
          <w:p>
            <w:r>
              <w:t>跨类幅度</w:t>
            </w:r>
          </w:p>
        </w:tc>
        <w:tc>
          <w:tcPr>
            <w:tcW w:type="dxa" w:w="1805"/>
          </w:tcPr>
          <w:p>
            <w:r>
              <w:t>跨类减同类</w:t>
            </w:r>
          </w:p>
        </w:tc>
      </w:tr>
      <w:tr>
        <w:tc>
          <w:tcPr>
            <w:tcW w:type="dxa" w:w="1805"/>
          </w:tcPr>
          <w:p>
            <w:r>
              <w:t>S9hNv5qa7GM-05</w:t>
            </w:r>
          </w:p>
        </w:tc>
        <w:tc>
          <w:tcPr>
            <w:tcW w:type="dxa" w:w="1805"/>
          </w:tcPr>
          <w:p>
            <w:r>
              <w:t>中等</w:t>
            </w:r>
          </w:p>
        </w:tc>
        <w:tc>
          <w:tcPr>
            <w:tcW w:type="dxa" w:w="1805"/>
          </w:tcPr>
          <w:p>
            <w:r>
              <w:t>4.534</w:t>
            </w:r>
          </w:p>
        </w:tc>
        <w:tc>
          <w:tcPr>
            <w:tcW w:type="dxa" w:w="1805"/>
          </w:tcPr>
          <w:p>
            <w:r>
              <w:t>3.859</w:t>
            </w:r>
          </w:p>
        </w:tc>
        <w:tc>
          <w:tcPr>
            <w:tcW w:type="dxa" w:w="1805"/>
          </w:tcPr>
          <w:p>
            <w:r>
              <w:t>-0.675</w:t>
            </w:r>
          </w:p>
        </w:tc>
      </w:tr>
      <w:tr>
        <w:tc>
          <w:tcPr>
            <w:tcW w:type="dxa" w:w="1805"/>
          </w:tcPr>
          <w:p>
            <w:r>
              <w:t>S9hNv5qa7GM-18</w:t>
            </w:r>
          </w:p>
        </w:tc>
        <w:tc>
          <w:tcPr>
            <w:tcW w:type="dxa" w:w="1805"/>
          </w:tcPr>
          <w:p>
            <w:r>
              <w:t>中等</w:t>
            </w:r>
          </w:p>
        </w:tc>
        <w:tc>
          <w:tcPr>
            <w:tcW w:type="dxa" w:w="1805"/>
          </w:tcPr>
          <w:p>
            <w:r>
              <w:t>3.713</w:t>
            </w:r>
          </w:p>
        </w:tc>
        <w:tc>
          <w:tcPr>
            <w:tcW w:type="dxa" w:w="1805"/>
          </w:tcPr>
          <w:p>
            <w:r>
              <w:t>2.557</w:t>
            </w:r>
          </w:p>
        </w:tc>
        <w:tc>
          <w:tcPr>
            <w:tcW w:type="dxa" w:w="1805"/>
          </w:tcPr>
          <w:p>
            <w:r>
              <w:t>-1.155</w:t>
            </w:r>
          </w:p>
        </w:tc>
      </w:tr>
      <w:tr>
        <w:tc>
          <w:tcPr>
            <w:tcW w:type="dxa" w:w="1805"/>
          </w:tcPr>
          <w:p>
            <w:r>
              <w:t>X7HyMhZNoso-19</w:t>
            </w:r>
          </w:p>
        </w:tc>
        <w:tc>
          <w:tcPr>
            <w:tcW w:type="dxa" w:w="1805"/>
          </w:tcPr>
          <w:p>
            <w:r>
              <w:t>中等</w:t>
            </w:r>
          </w:p>
        </w:tc>
        <w:tc>
          <w:tcPr>
            <w:tcW w:type="dxa" w:w="1805"/>
          </w:tcPr>
          <w:p>
            <w:r>
              <w:t>1.244</w:t>
            </w:r>
          </w:p>
        </w:tc>
        <w:tc>
          <w:tcPr>
            <w:tcW w:type="dxa" w:w="1805"/>
          </w:tcPr>
          <w:p>
            <w:r>
              <w:t>0.952</w:t>
            </w:r>
          </w:p>
        </w:tc>
        <w:tc>
          <w:tcPr>
            <w:tcW w:type="dxa" w:w="1805"/>
          </w:tcPr>
          <w:p>
            <w:r>
              <w:t>-0.292</w:t>
            </w:r>
          </w:p>
        </w:tc>
      </w:tr>
      <w:tr>
        <w:tc>
          <w:tcPr>
            <w:tcW w:type="dxa" w:w="1805"/>
          </w:tcPr>
          <w:p>
            <w:r>
              <w:t>Z6MFQCViBuw-10</w:t>
            </w:r>
          </w:p>
        </w:tc>
        <w:tc>
          <w:tcPr>
            <w:tcW w:type="dxa" w:w="1805"/>
          </w:tcPr>
          <w:p>
            <w:r>
              <w:t>简单</w:t>
            </w:r>
          </w:p>
        </w:tc>
        <w:tc>
          <w:tcPr>
            <w:tcW w:type="dxa" w:w="1805"/>
          </w:tcPr>
          <w:p>
            <w:r>
              <w:t>0.966</w:t>
            </w:r>
          </w:p>
        </w:tc>
        <w:tc>
          <w:tcPr>
            <w:tcW w:type="dxa" w:w="1805"/>
          </w:tcPr>
          <w:p>
            <w:r>
              <w:t>0.890</w:t>
            </w:r>
          </w:p>
        </w:tc>
        <w:tc>
          <w:tcPr>
            <w:tcW w:type="dxa" w:w="1805"/>
          </w:tcPr>
          <w:p>
            <w:r>
              <w:t>-0.076</w:t>
            </w:r>
          </w:p>
        </w:tc>
      </w:tr>
      <w:tr>
        <w:tc>
          <w:tcPr>
            <w:tcW w:type="dxa" w:w="1805"/>
          </w:tcPr>
          <w:p>
            <w:r>
              <w:t>jh4fc5c5qoQ-04</w:t>
            </w:r>
          </w:p>
        </w:tc>
        <w:tc>
          <w:tcPr>
            <w:tcW w:type="dxa" w:w="1805"/>
          </w:tcPr>
          <w:p>
            <w:r>
              <w:t>困难</w:t>
            </w:r>
          </w:p>
        </w:tc>
        <w:tc>
          <w:tcPr>
            <w:tcW w:type="dxa" w:w="1805"/>
          </w:tcPr>
          <w:p>
            <w:r>
              <w:t>16.751</w:t>
            </w:r>
          </w:p>
        </w:tc>
        <w:tc>
          <w:tcPr>
            <w:tcW w:type="dxa" w:w="1805"/>
          </w:tcPr>
          <w:p>
            <w:r>
              <w:t>10.395</w:t>
            </w:r>
          </w:p>
        </w:tc>
        <w:tc>
          <w:tcPr>
            <w:tcW w:type="dxa" w:w="1805"/>
          </w:tcPr>
          <w:p>
            <w:r>
              <w:t>-6.357</w:t>
            </w:r>
          </w:p>
        </w:tc>
      </w:tr>
      <w:tr>
        <w:tc>
          <w:tcPr>
            <w:tcW w:type="dxa" w:w="1805"/>
          </w:tcPr>
          <w:p>
            <w:r>
              <w:t>jh4fc5c5qoQ-13</w:t>
            </w:r>
          </w:p>
        </w:tc>
        <w:tc>
          <w:tcPr>
            <w:tcW w:type="dxa" w:w="1805"/>
          </w:tcPr>
          <w:p>
            <w:r>
              <w:t>中等</w:t>
            </w:r>
          </w:p>
        </w:tc>
        <w:tc>
          <w:tcPr>
            <w:tcW w:type="dxa" w:w="1805"/>
          </w:tcPr>
          <w:p>
            <w:r>
              <w:t>3.739</w:t>
            </w:r>
          </w:p>
        </w:tc>
        <w:tc>
          <w:tcPr>
            <w:tcW w:type="dxa" w:w="1805"/>
          </w:tcPr>
          <w:p>
            <w:r>
              <w:t>3.162</w:t>
            </w:r>
          </w:p>
        </w:tc>
        <w:tc>
          <w:tcPr>
            <w:tcW w:type="dxa" w:w="1805"/>
          </w:tcPr>
          <w:p>
            <w:r>
              <w:t>-0.577</w:t>
            </w:r>
          </w:p>
        </w:tc>
      </w:tr>
      <w:tr>
        <w:tc>
          <w:tcPr>
            <w:tcW w:type="dxa" w:w="1805"/>
          </w:tcPr>
          <w:p>
            <w:r>
              <w:t>uNb9QFRL6hY-82</w:t>
            </w:r>
          </w:p>
        </w:tc>
        <w:tc>
          <w:tcPr>
            <w:tcW w:type="dxa" w:w="1805"/>
          </w:tcPr>
          <w:p>
            <w:r>
              <w:t>简单</w:t>
            </w:r>
          </w:p>
        </w:tc>
        <w:tc>
          <w:tcPr>
            <w:tcW w:type="dxa" w:w="1805"/>
          </w:tcPr>
          <w:p>
            <w:r>
              <w:t>1.683</w:t>
            </w:r>
          </w:p>
        </w:tc>
        <w:tc>
          <w:tcPr>
            <w:tcW w:type="dxa" w:w="1805"/>
          </w:tcPr>
          <w:p>
            <w:r>
              <w:t>1.262</w:t>
            </w:r>
          </w:p>
        </w:tc>
        <w:tc>
          <w:tcPr>
            <w:tcW w:type="dxa" w:w="1805"/>
          </w:tcPr>
          <w:p>
            <w:r>
              <w:t>-0.420</w:t>
            </w:r>
          </w:p>
        </w:tc>
      </w:tr>
    </w:tbl>
    <w:p>
      <w:pPr/>
      <w:r>
        <w:t>表中为当前楼外 DSTRUCT 标签、18 人换 7 人、人数最多类换入高转折类的图级 Q 变化幅度；负值表示跨类幅度小于同类。来源：research/data/releases/v2.1/rfuse_exception_diagnosis_20261029/DSTRUCT_CURRENT_18_7_IMAGE_DIFFICULTY.csv。</w:t>
      </w:r>
    </w:p>
    <w:p>
      <w:r>
        <w:t>v2.1 范围、数值与独立核验：research/data/releases/v2.1/FULL_DELIVERY_REVIEW_20261029.md；research/data/releases/v2.1/README.md</w:t>
      </w:r>
    </w:p>
    <w:p>
      <w:r>
        <w:t>任务、质量公式、统计定义与术语：docs/thesis_main/研究模型_人员图片与融合不确定性_20261006.md；docs/thesis_main/CONTEXT.md</w:t>
      </w:r>
    </w:p>
    <w:p>
      <w:r>
        <w:t>质量评价与人工诊断：research/quality/v2_profile_combo_quality_20261021/PAPER_RESULTS.md；research/quality/quality_independent_validation_20261024/human_review/REPORT_ZH.md</w:t>
      </w:r>
    </w:p>
    <w:p>
      <w:r>
        <w:t>融合方法同队比较与完整状态：research/fusion/fusion_common_panel_20261024/README.md</w:t>
      </w:r>
    </w:p>
    <w:p>
      <w:r>
        <w:t>难度标签与结构条件：docs/thesis_main/topics/difficulty/图片难度全量复核与分层标准_20261010.md；research/difficulty/difficulty_mechanisms_v2_20261020/RESULTS_SYNTHESIS.md</w:t>
      </w:r>
    </w:p>
    <w:p>
      <w:r>
        <w:t>v2.1 自然人数与两人聚合：research/data/releases/v2.1/natural_analysis_restored/README.md；research/data/releases/v2.1/two_person_natural256/README.md；research/data/releases/v2.1/admitted_space_extension/README.md</w:t>
      </w:r>
    </w:p>
    <w:p>
      <w:r>
        <w:t>v2.1 进入策略：research/data/releases/v2.1/current_policy_results/README.md；research/data/releases/v2.1/CONCLUSION_CHANGES_INDEPENDENT_20261029.md</w:t>
      </w:r>
    </w:p>
    <w:p>
      <w:r>
        <w:t>人员分类、替换及固定背景：research/workers/personnel_classification_guide_20261025/README.md；docs/thesis_main/人员分类与构成不确定性_研究组织与比较清单_20261022.md</w:t>
      </w:r>
    </w:p>
    <w:p>
      <w:r>
        <w:t>v2.1 DSTRUCT 方差与换类：research/data/releases/v2.1/composition_variance/README.md；research/data/releases/v2.1/CONCLUSION_CHANGES_INDEPENDENT_20261029.md</w:t>
      </w:r>
    </w:p>
    <w:p>
      <w:r>
        <w:t>参考归属与七图机制：research/data/releases/v2.1/SCOPE_ROUTING_INDEPENDENT_AUDIT_20261029.md；research/data/releases/v2.1/rfuse_exception_diagnosis_20261029/README.md</w:t>
      </w:r>
    </w:p>
    <w:p>
      <w:r>
        <w:t>v2.1 同房：research/data/releases/v2.1/same_room_current_results/README.md；research/data/releases/v2.1/CONCLUSION_CHANGES_INDEPENDENT_20261029.md</w:t>
      </w:r>
    </w:p>
    <w:p>
      <w:r>
        <w:t>门洞与 OOS：research/statistics/research_closeout_20261022/CONCLUSIONS_ZH.md；research/difficulty/difficulty_mechanisms_v2_20261020/scope_closeout_20261022/OOS_REVIEW_20261024.md</w:t>
      </w:r>
    </w:p>
    <w:p>
      <w:r>
        <w:t>同用途预测与归因：research/data/releases/v2.1/ROOM_TYPE_ATTRIBUTION_INDEPENDENT_20261029.md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t xml:space="preserve">第 </w:t>
    </w:r>
    <w:r>
      <w:rPr>
        <w:rFonts w:ascii="Times New Roman" w:hAnsi="Times New Roman" w:eastAsia="宋体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before="0" w:after="0"/>
      <w:ind w:firstLine="420"/>
      <w:jc w:val="both"/>
    </w:pPr>
    <w:rPr>
      <w:rFonts w:ascii="Times New Roman" w:hAnsi="Times New Roman" w:eastAsia="宋体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300" w:lineRule="auto"/>
      <w:ind w:firstLine="0"/>
      <w:jc w:val="left"/>
      <w:outlineLvl w:val="0"/>
    </w:pPr>
    <w:rPr>
      <w:rFonts w:ascii="Times New Roman" w:hAnsi="Times New Roman" w:eastAsia="黑体" w:cs="Times New Roman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00" w:lineRule="auto"/>
      <w:ind w:firstLine="0"/>
      <w:jc w:val="left"/>
      <w:outlineLvl w:val="1"/>
    </w:pPr>
    <w:rPr>
      <w:rFonts w:ascii="Times New Roman" w:hAnsi="Times New Roman" w:eastAsia="黑体" w:cs="Times New Roman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300" w:lineRule="auto"/>
      <w:ind w:firstLine="0"/>
      <w:jc w:val="left"/>
      <w:outlineLvl w:val="2"/>
    </w:pPr>
    <w:rPr>
      <w:rFonts w:ascii="Times New Roman" w:hAnsi="Times New Roman" w:eastAsia="黑体" w:cs="Times New Roman"/>
      <w:b w:val="0"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60" w:after="60"/>
      <w:ind w:firstLine="0"/>
      <w:jc w:val="center"/>
    </w:pPr>
    <w:rPr>
      <w:rFonts w:ascii="Times New Roman" w:hAnsi="Times New Roman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全景布局标注的不确定性</dc:title>
  <dc:subject>论文提纲</dc:subject>
  <dc:creator>HOHONET research</dc:creator>
  <cp:keywords>全景布局；标注不确定性；质量评价；结构共识；人员差异</cp:keywords>
  <dc:description>generated by python-docx</dc:description>
  <cp:lastModifiedBy>HOHONET research</cp:lastModifiedBy>
  <cp:revision>7</cp:revision>
  <dcterms:created xsi:type="dcterms:W3CDTF">2026-10-25T20:30:00Z</dcterms:created>
  <dcterms:modified xsi:type="dcterms:W3CDTF">2026-10-26T19:50:00Z</dcterms:modified>
  <cp:category/>
</cp:coreProperties>
</file>