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相似场景的标注稳定阶段与人员组合</w:t>
      </w:r>
    </w:p>
    <w:p>
      <w:pPr>
        <w:pStyle w:val="Subtitle"/>
      </w:pPr>
      <w:r>
        <w:t>历史数据验证、图像特征对照与新增标注设计｜2026年9月9日</w:t>
      </w:r>
    </w:p>
    <w:p>
      <w:r>
        <w:t>研究对象是标注分布在有限人数范围内进入持续稳定阶段的时间，以及该阶段能否由同building历史图和图像特征预测。稳定多个簇属于允许的结果；分布稳定、参考偏差和人员类型复现分别评价。</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数据层级</w:t>
            </w:r>
          </w:p>
        </w:tc>
        <w:tc>
          <w:tcPr>
            <w:tcW w:type="dxa" w:w="2650"/>
            <w:shd w:fill="F2F4F7"/>
          </w:tcPr>
          <w:p>
            <w:pPr>
              <w:pStyle w:val="TableHeader"/>
              <w:keepNext/>
            </w:pPr>
            <w:r>
              <w:t>覆盖</w:t>
            </w:r>
          </w:p>
        </w:tc>
        <w:tc>
          <w:tcPr>
            <w:tcW w:type="dxa" w:w="4360"/>
            <w:shd w:fill="F2F4F7"/>
          </w:tcPr>
          <w:p>
            <w:pPr>
              <w:pStyle w:val="TableHeader"/>
              <w:keepNext/>
            </w:pPr>
            <w:r>
              <w:t>统计口径</w:t>
            </w:r>
          </w:p>
        </w:tc>
      </w:tr>
      <w:tr>
        <w:trPr>
          <w:cantSplit/>
        </w:trPr>
        <w:tc>
          <w:tcPr>
            <w:tcW w:type="dxa" w:w="2350"/>
          </w:tcPr>
          <w:p>
            <w:pPr>
              <w:pStyle w:val="TableText"/>
              <w:keepNext w:val="0"/>
            </w:pPr>
            <w:r>
              <w:t>历史库存</w:t>
            </w:r>
          </w:p>
        </w:tc>
        <w:tc>
          <w:tcPr>
            <w:tcW w:type="dxa" w:w="2650"/>
          </w:tcPr>
          <w:p>
            <w:pPr>
              <w:pStyle w:val="TableText"/>
              <w:keepNext w:val="0"/>
            </w:pPr>
            <w:r>
              <w:t>214图 / 22楼 / 26人</w:t>
            </w:r>
          </w:p>
        </w:tc>
        <w:tc>
          <w:tcPr>
            <w:tcW w:type="dxa" w:w="4360"/>
          </w:tcPr>
          <w:p>
            <w:pPr>
              <w:pStyle w:val="TableText"/>
              <w:keepNext w:val="0"/>
            </w:pPr>
            <w:r>
              <w:t>2501份canonical；2513份版本</w:t>
            </w:r>
          </w:p>
        </w:tc>
      </w:tr>
      <w:tr>
        <w:trPr>
          <w:cantSplit/>
        </w:trPr>
        <w:tc>
          <w:tcPr>
            <w:tcW w:type="dxa" w:w="2350"/>
          </w:tcPr>
          <w:p>
            <w:pPr>
              <w:pStyle w:val="TableText"/>
              <w:keepNext w:val="0"/>
            </w:pPr>
            <w:r>
              <w:t>无辅助可计算</w:t>
            </w:r>
          </w:p>
        </w:tc>
        <w:tc>
          <w:tcPr>
            <w:tcW w:type="dxa" w:w="2650"/>
          </w:tcPr>
          <w:p>
            <w:pPr>
              <w:pStyle w:val="TableText"/>
              <w:keepNext w:val="0"/>
            </w:pPr>
            <w:r>
              <w:t>196图；1887 / 1843响应</w:t>
            </w:r>
          </w:p>
        </w:tc>
        <w:tc>
          <w:tcPr>
            <w:tcW w:type="dxa" w:w="4360"/>
          </w:tcPr>
          <w:p>
            <w:pPr>
              <w:pStyle w:val="TableText"/>
              <w:keepNext w:val="0"/>
            </w:pPr>
            <w:r>
              <w:t>包含 / 排除W19、W26</w:t>
            </w:r>
          </w:p>
        </w:tc>
      </w:tr>
      <w:tr>
        <w:trPr>
          <w:cantSplit/>
        </w:trPr>
        <w:tc>
          <w:tcPr>
            <w:tcW w:type="dxa" w:w="2350"/>
          </w:tcPr>
          <w:p>
            <w:pPr>
              <w:pStyle w:val="TableText"/>
              <w:keepNext w:val="0"/>
            </w:pPr>
            <w:r>
              <w:t>高人数历史</w:t>
            </w:r>
          </w:p>
        </w:tc>
        <w:tc>
          <w:tcPr>
            <w:tcW w:type="dxa" w:w="2650"/>
          </w:tcPr>
          <w:p>
            <w:pPr>
              <w:pStyle w:val="TableText"/>
              <w:keepNext w:val="0"/>
            </w:pPr>
            <w:r>
              <w:t>55图 / 15楼</w:t>
            </w:r>
          </w:p>
        </w:tc>
        <w:tc>
          <w:tcPr>
            <w:tcW w:type="dxa" w:w="4360"/>
          </w:tcPr>
          <w:p>
            <w:pPr>
              <w:pStyle w:val="TableText"/>
              <w:keepNext w:val="0"/>
            </w:pPr>
            <w:r>
              <w:t>共同人数19–24</w:t>
            </w:r>
          </w:p>
        </w:tc>
      </w:tr>
      <w:tr>
        <w:trPr>
          <w:cantSplit/>
        </w:trPr>
        <w:tc>
          <w:tcPr>
            <w:tcW w:type="dxa" w:w="2350"/>
          </w:tcPr>
          <w:p>
            <w:pPr>
              <w:pStyle w:val="TableText"/>
              <w:keepNext w:val="0"/>
            </w:pPr>
            <w:r>
              <w:t>同楼留图预测</w:t>
            </w:r>
          </w:p>
        </w:tc>
        <w:tc>
          <w:tcPr>
            <w:tcW w:type="dxa" w:w="2650"/>
          </w:tcPr>
          <w:p>
            <w:pPr>
              <w:pStyle w:val="TableText"/>
              <w:keepNext w:val="0"/>
            </w:pPr>
            <w:r>
              <w:t>50图 / 10楼</w:t>
            </w:r>
          </w:p>
        </w:tc>
        <w:tc>
          <w:tcPr>
            <w:tcW w:type="dxa" w:w="4360"/>
          </w:tcPr>
          <w:p>
            <w:pPr>
              <w:pStyle w:val="TableText"/>
              <w:keepNext w:val="0"/>
            </w:pPr>
            <w:r>
              <w:t>约50% / 60%作历史源</w:t>
            </w:r>
          </w:p>
        </w:tc>
      </w:tr>
      <w:tr>
        <w:trPr>
          <w:cantSplit/>
        </w:trPr>
        <w:tc>
          <w:tcPr>
            <w:tcW w:type="dxa" w:w="2350"/>
          </w:tcPr>
          <w:p>
            <w:pPr>
              <w:pStyle w:val="TableText"/>
              <w:keepNext w:val="0"/>
            </w:pPr>
            <w:r>
              <w:t>低人数待验证</w:t>
            </w:r>
          </w:p>
        </w:tc>
        <w:tc>
          <w:tcPr>
            <w:tcW w:type="dxa" w:w="2650"/>
          </w:tcPr>
          <w:p>
            <w:pPr>
              <w:pStyle w:val="TableText"/>
              <w:keepNext w:val="0"/>
            </w:pPr>
            <w:r>
              <w:t>98图 / 21楼</w:t>
            </w:r>
          </w:p>
        </w:tc>
        <w:tc>
          <w:tcPr>
            <w:tcW w:type="dxa" w:w="4360"/>
          </w:tcPr>
          <w:p>
            <w:pPr>
              <w:pStyle w:val="TableText"/>
              <w:keepNext w:val="0"/>
            </w:pPr>
            <w:r>
              <w:t>N=3–7，已生成长期预测</w:t>
            </w:r>
          </w:p>
        </w:tc>
      </w:tr>
      <w:tr>
        <w:trPr>
          <w:cantSplit/>
        </w:trPr>
        <w:tc>
          <w:tcPr>
            <w:tcW w:type="dxa" w:w="2350"/>
          </w:tcPr>
          <w:p>
            <w:pPr>
              <w:pStyle w:val="TableText"/>
              <w:keepNext w:val="0"/>
            </w:pPr>
            <w:r>
              <w:t>库存保留</w:t>
            </w:r>
          </w:p>
        </w:tc>
        <w:tc>
          <w:tcPr>
            <w:tcW w:type="dxa" w:w="2650"/>
          </w:tcPr>
          <w:p>
            <w:pPr>
              <w:pStyle w:val="TableText"/>
              <w:keepNext w:val="0"/>
            </w:pPr>
            <w:r>
              <w:t>61图</w:t>
            </w:r>
          </w:p>
        </w:tc>
        <w:tc>
          <w:tcPr>
            <w:tcW w:type="dxa" w:w="4360"/>
          </w:tcPr>
          <w:p>
            <w:pPr>
              <w:pStyle w:val="TableText"/>
              <w:keepNext w:val="0"/>
            </w:pPr>
            <w:r>
              <w:t>18图N=0；20图N=1；23图N=2</w:t>
            </w:r>
          </w:p>
        </w:tc>
      </w:tr>
    </w:tbl>
    <w:p>
      <w:pPr>
        <w:keepNext/>
        <w:spacing w:after="0" w:before="120"/>
      </w:pPr>
      <w:r>
        <w:drawing>
          <wp:inline xmlns:a="http://schemas.openxmlformats.org/drawingml/2006/main" xmlns:pic="http://schemas.openxmlformats.org/drawingml/2006/picture">
            <wp:extent cx="5669280" cy="2061556"/>
            <wp:docPr id="1" name="Picture 1"/>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669280" cy="2061556"/>
                    </a:xfrm>
                    <a:prstGeom prst="rect"/>
                  </pic:spPr>
                </pic:pic>
              </a:graphicData>
            </a:graphic>
          </wp:inline>
        </w:drawing>
      </w:r>
    </w:p>
    <w:p>
      <w:pPr>
        <w:pStyle w:val="Caption"/>
      </w:pPr>
      <w:r>
        <w:t>图1 共同人员预算下的图像覆盖。低人数图没有被当作长期不稳定样本。</w:t>
      </w:r>
    </w:p>
    <w:p>
      <w:r>
        <w:t>所有回放均复用真实人员的独立无辅助作答。200条人员顺序和重复留图组合不增加独立人员、图片或building数量。</w:t>
      </w:r>
    </w:p>
    <w:p>
      <w:pPr>
        <w:pStyle w:val="Heading1"/>
        <w:pageBreakBefore/>
      </w:pPr>
      <w:r>
        <w:t>本轮检验问题与稳定阶段定义</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问题</w:t>
            </w:r>
          </w:p>
        </w:tc>
        <w:tc>
          <w:tcPr>
            <w:tcW w:type="dxa" w:w="2650"/>
            <w:shd w:fill="F2F4F7"/>
          </w:tcPr>
          <w:p>
            <w:pPr>
              <w:pStyle w:val="TableHeader"/>
              <w:keepNext/>
            </w:pPr>
            <w:r>
              <w:t>本轮可观测量</w:t>
            </w:r>
          </w:p>
        </w:tc>
        <w:tc>
          <w:tcPr>
            <w:tcW w:type="dxa" w:w="4360"/>
            <w:shd w:fill="F2F4F7"/>
          </w:tcPr>
          <w:p>
            <w:pPr>
              <w:pStyle w:val="TableHeader"/>
              <w:keepNext/>
            </w:pPr>
            <w:r>
              <w:t>评价对象</w:t>
            </w:r>
          </w:p>
        </w:tc>
      </w:tr>
      <w:tr>
        <w:trPr>
          <w:cantSplit/>
        </w:trPr>
        <w:tc>
          <w:tcPr>
            <w:tcW w:type="dxa" w:w="2350"/>
          </w:tcPr>
          <w:p>
            <w:pPr>
              <w:pStyle w:val="TableText"/>
              <w:keepNext w:val="0"/>
            </w:pPr>
            <w:r>
              <w:t>人数增加后是否出现阶段</w:t>
            </w:r>
          </w:p>
        </w:tc>
        <w:tc>
          <w:tcPr>
            <w:tcW w:type="dxa" w:w="2650"/>
          </w:tcPr>
          <w:p>
            <w:pPr>
              <w:pStyle w:val="TableText"/>
              <w:keepNext w:val="0"/>
            </w:pPr>
            <w:r>
              <w:t>持续稳定达标率、起点范围；代表参考偏差曲线</w:t>
            </w:r>
          </w:p>
        </w:tc>
        <w:tc>
          <w:tcPr>
            <w:tcW w:type="dxa" w:w="4360"/>
          </w:tcPr>
          <w:p>
            <w:pPr>
              <w:pStyle w:val="TableText"/>
              <w:keepNext w:val="0"/>
            </w:pPr>
            <w:r>
              <w:t>每图真实人员前缀</w:t>
            </w:r>
          </w:p>
        </w:tc>
      </w:tr>
      <w:tr>
        <w:trPr>
          <w:cantSplit/>
        </w:trPr>
        <w:tc>
          <w:tcPr>
            <w:tcW w:type="dxa" w:w="2350"/>
          </w:tcPr>
          <w:p>
            <w:pPr>
              <w:pStyle w:val="TableText"/>
              <w:keepNext w:val="0"/>
            </w:pPr>
            <w:r>
              <w:t>阶段能否跨图预测</w:t>
            </w:r>
          </w:p>
        </w:tc>
        <w:tc>
          <w:tcPr>
            <w:tcW w:type="dxa" w:w="2650"/>
          </w:tcPr>
          <w:p>
            <w:pPr>
              <w:pStyle w:val="TableText"/>
              <w:keepNext w:val="0"/>
            </w:pPr>
            <w:r>
              <w:t>同楼源、楼外源、图像特征的留图误差</w:t>
            </w:r>
          </w:p>
        </w:tc>
        <w:tc>
          <w:tcPr>
            <w:tcW w:type="dxa" w:w="4360"/>
          </w:tcPr>
          <w:p>
            <w:pPr>
              <w:pStyle w:val="TableText"/>
              <w:keepNext w:val="0"/>
            </w:pPr>
            <w:r>
              <w:t>整张目标图留出</w:t>
            </w:r>
          </w:p>
        </w:tc>
      </w:tr>
      <w:tr>
        <w:trPr>
          <w:cantSplit/>
        </w:trPr>
        <w:tc>
          <w:tcPr>
            <w:tcW w:type="dxa" w:w="2350"/>
          </w:tcPr>
          <w:p>
            <w:pPr>
              <w:pStyle w:val="TableText"/>
              <w:keepNext w:val="0"/>
            </w:pPr>
            <w:r>
              <w:t>人员组合能否复用</w:t>
            </w:r>
          </w:p>
        </w:tc>
        <w:tc>
          <w:tcPr>
            <w:tcW w:type="dxa" w:w="2650"/>
          </w:tcPr>
          <w:p>
            <w:pPr>
              <w:pStyle w:val="TableText"/>
              <w:keepNext w:val="0"/>
            </w:pPr>
            <w:r>
              <w:t>训练外分档、同图不同人组合、代表偏差与分歧</w:t>
            </w:r>
          </w:p>
        </w:tc>
        <w:tc>
          <w:tcPr>
            <w:tcW w:type="dxa" w:w="4360"/>
          </w:tcPr>
          <w:p>
            <w:pPr>
              <w:pStyle w:val="TableText"/>
              <w:keepNext w:val="0"/>
            </w:pPr>
            <w:r>
              <w:t>固定2人或4人预算</w:t>
            </w:r>
          </w:p>
        </w:tc>
      </w:tr>
    </w:tbl>
    <w:p>
      <w:r>
        <w:t>每簇必须满足有效点数一致。有效点数不同的两份作答一定分属不同簇，即使坐标接近。几何组至少有两位不同人员支持时才成为受支持簇；单例保留为低支持组，继续参与份额及成员关系计算。</w:t>
      </w:r>
    </w:p>
    <w:p>
      <w:r>
        <w:t>在一条人员顺序中，对候选前缀k与其后每个j直到观察终点H进行比较：旧人员同簇关系改变的人员对比例≤0.10；各簇份额总变差TV≤0.10；没有簇相对k从不足2人跨到至少2人；k时已有至少一个受支持簇。</w:t>
      </w:r>
    </w:p>
    <w:p>
      <w:r>
        <w:t>持续阶段要求同一条顺序从k到H−5的每个起点都满足上述对照。合法候选域为k≥2，之后至少有5位人员；H=20时评价2≤k≤15，H=23时评价2≤k≤18。k=1仅保留轨迹，不进入起点提取。</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600"/>
        <w:gridCol w:w="6760"/>
      </w:tblGrid>
      <w:tr>
        <w:trPr>
          <w:cantSplit/>
          <w:tblHeader/>
        </w:trPr>
        <w:tc>
          <w:tcPr>
            <w:tcW w:type="dxa" w:w="2600"/>
            <w:shd w:fill="F2F4F7"/>
          </w:tcPr>
          <w:p>
            <w:pPr>
              <w:pStyle w:val="TableHeader"/>
              <w:keepNext/>
            </w:pPr>
            <w:r>
              <w:t>状态</w:t>
            </w:r>
          </w:p>
        </w:tc>
        <w:tc>
          <w:tcPr>
            <w:tcW w:type="dxa" w:w="6760"/>
            <w:shd w:fill="F2F4F7"/>
          </w:tcPr>
          <w:p>
            <w:pPr>
              <w:pStyle w:val="TableHeader"/>
              <w:keepNext/>
            </w:pPr>
            <w:r>
              <w:t>定义</w:t>
            </w:r>
          </w:p>
        </w:tc>
      </w:tr>
      <w:tr>
        <w:trPr>
          <w:cantSplit/>
        </w:trPr>
        <w:tc>
          <w:tcPr>
            <w:tcW w:type="dxa" w:w="2600"/>
          </w:tcPr>
          <w:p>
            <w:pPr>
              <w:pStyle w:val="TableText"/>
              <w:keepNext w:val="0"/>
            </w:pPr>
            <w:r>
              <w:t>stable</w:t>
            </w:r>
          </w:p>
        </w:tc>
        <w:tc>
          <w:tcPr>
            <w:tcW w:type="dxa" w:w="6760"/>
          </w:tcPr>
          <w:p>
            <w:pPr>
              <w:pStyle w:val="TableText"/>
              <w:keepNext w:val="0"/>
            </w:pPr>
            <w:r>
              <w:t>所有必要比较满足条件；允许稳定单簇和多簇</w:t>
            </w:r>
          </w:p>
        </w:tc>
      </w:tr>
      <w:tr>
        <w:trPr>
          <w:cantSplit/>
        </w:trPr>
        <w:tc>
          <w:tcPr>
            <w:tcW w:type="dxa" w:w="2600"/>
          </w:tcPr>
          <w:p>
            <w:pPr>
              <w:pStyle w:val="TableText"/>
              <w:keepNext w:val="0"/>
            </w:pPr>
            <w:r>
              <w:t>changing</w:t>
            </w:r>
          </w:p>
        </w:tc>
        <w:tc>
          <w:tcPr>
            <w:tcW w:type="dxa" w:w="6760"/>
          </w:tcPr>
          <w:p>
            <w:pPr>
              <w:pStyle w:val="TableText"/>
              <w:keepNext w:val="0"/>
            </w:pPr>
            <w:r>
              <w:t>至少一个可评价比较已经违反条件</w:t>
            </w:r>
          </w:p>
        </w:tc>
      </w:tr>
      <w:tr>
        <w:trPr>
          <w:cantSplit/>
        </w:trPr>
        <w:tc>
          <w:tcPr>
            <w:tcW w:type="dxa" w:w="2600"/>
          </w:tcPr>
          <w:p>
            <w:pPr>
              <w:pStyle w:val="TableText"/>
              <w:keepNext w:val="0"/>
            </w:pPr>
            <w:r>
              <w:t>unknown</w:t>
            </w:r>
          </w:p>
        </w:tc>
        <w:tc>
          <w:tcPr>
            <w:tcW w:type="dxa" w:w="6760"/>
          </w:tcPr>
          <w:p>
            <w:pPr>
              <w:pStyle w:val="TableText"/>
              <w:keepNext w:val="0"/>
            </w:pPr>
            <w:r>
              <w:t>没有已知违反，但必要分区或支持仍不足</w:t>
            </w:r>
          </w:p>
        </w:tc>
      </w:tr>
    </w:tbl>
    <w:p>
      <w:r>
        <w:t>L=stable/200，U=(stable+unknown)/200。起点以80%顺序进入持续阶段为阈值，分别求U与L过线人数；同一有限值才记为起点可识别。L/U是未知状态边界，不是置信区间；“可识别”也不意味着排除了200次回放的蒙特卡洛波动。</w:t>
      </w:r>
    </w:p>
    <w:p>
      <w:r>
        <w:t>未在H内达到条件，不代表永久不收敛；分布稳定也不代表正确或理论质量上限。</w:t>
      </w:r>
    </w:p>
    <w:p>
      <w:pPr>
        <w:pStyle w:val="Heading1"/>
        <w:pageBreakBefore/>
      </w:pPr>
      <w:r>
        <w:t>所有具备高人数历史的building</w:t>
      </w:r>
    </w:p>
    <w:p>
      <w:r>
        <w:t>高人数入口由不同人员数预先确定，不按是否稳定选图。15个building共有55图；其中10楼各有至少2图，共50图，可以留出同楼新图。其余5楼各只有一张高人数图。</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700"/>
        <w:gridCol w:w="2200"/>
        <w:gridCol w:w="2200"/>
        <w:gridCol w:w="2260"/>
      </w:tblGrid>
      <w:tr>
        <w:trPr>
          <w:cantSplit/>
          <w:tblHeader/>
        </w:trPr>
        <w:tc>
          <w:tcPr>
            <w:tcW w:type="dxa" w:w="2700"/>
            <w:shd w:fill="F2F4F7"/>
          </w:tcPr>
          <w:p>
            <w:pPr>
              <w:pStyle w:val="TableHeader"/>
              <w:keepNext/>
            </w:pPr>
            <w:r>
              <w:t>building</w:t>
            </w:r>
          </w:p>
        </w:tc>
        <w:tc>
          <w:tcPr>
            <w:tcW w:type="dxa" w:w="2200"/>
            <w:shd w:fill="F2F4F7"/>
          </w:tcPr>
          <w:p>
            <w:pPr>
              <w:pStyle w:val="TableHeader"/>
              <w:keepNext/>
            </w:pPr>
            <w:r>
              <w:t>高人数图</w:t>
            </w:r>
          </w:p>
        </w:tc>
        <w:tc>
          <w:tcPr>
            <w:tcW w:type="dxa" w:w="2200"/>
            <w:shd w:fill="F2F4F7"/>
          </w:tcPr>
          <w:p>
            <w:pPr>
              <w:pStyle w:val="TableHeader"/>
              <w:keepNext/>
            </w:pPr>
            <w:r>
              <w:t>共同人数范围</w:t>
            </w:r>
          </w:p>
        </w:tc>
        <w:tc>
          <w:tcPr>
            <w:tcW w:type="dxa" w:w="2260"/>
            <w:shd w:fill="F2F4F7"/>
          </w:tcPr>
          <w:p>
            <w:pPr>
              <w:pStyle w:val="TableHeader"/>
              <w:keepNext/>
            </w:pPr>
            <w:r>
              <w:t>预测评价</w:t>
            </w:r>
          </w:p>
        </w:tc>
      </w:tr>
      <w:tr>
        <w:trPr>
          <w:cantSplit/>
        </w:trPr>
        <w:tc>
          <w:tcPr>
            <w:tcW w:type="dxa" w:w="2700"/>
          </w:tcPr>
          <w:p>
            <w:pPr>
              <w:pStyle w:val="TableText"/>
              <w:keepNext w:val="0"/>
            </w:pPr>
            <w:r>
              <w:t>7y3sRwLe3Va</w:t>
            </w:r>
          </w:p>
        </w:tc>
        <w:tc>
          <w:tcPr>
            <w:tcW w:type="dxa" w:w="2200"/>
          </w:tcPr>
          <w:p>
            <w:pPr>
              <w:pStyle w:val="TableText"/>
              <w:keepNext w:val="0"/>
            </w:pPr>
            <w:r>
              <w:t>3</w:t>
            </w:r>
          </w:p>
        </w:tc>
        <w:tc>
          <w:tcPr>
            <w:tcW w:type="dxa" w:w="2200"/>
          </w:tcPr>
          <w:p>
            <w:pPr>
              <w:pStyle w:val="TableText"/>
              <w:keepNext w:val="0"/>
            </w:pPr>
            <w:r>
              <w:t>24–24</w:t>
            </w:r>
          </w:p>
        </w:tc>
        <w:tc>
          <w:tcPr>
            <w:tcW w:type="dxa" w:w="2260"/>
          </w:tcPr>
          <w:p>
            <w:pPr>
              <w:pStyle w:val="TableText"/>
              <w:keepNext w:val="0"/>
            </w:pPr>
            <w:r>
              <w:t>同楼＋楼外</w:t>
            </w:r>
          </w:p>
        </w:tc>
      </w:tr>
      <w:tr>
        <w:trPr>
          <w:cantSplit/>
        </w:trPr>
        <w:tc>
          <w:tcPr>
            <w:tcW w:type="dxa" w:w="2700"/>
          </w:tcPr>
          <w:p>
            <w:pPr>
              <w:pStyle w:val="TableText"/>
              <w:keepNext w:val="0"/>
            </w:pPr>
            <w:r>
              <w:t>B6ByNegPMKs</w:t>
            </w:r>
          </w:p>
        </w:tc>
        <w:tc>
          <w:tcPr>
            <w:tcW w:type="dxa" w:w="2200"/>
          </w:tcPr>
          <w:p>
            <w:pPr>
              <w:pStyle w:val="TableText"/>
              <w:keepNext w:val="0"/>
            </w:pPr>
            <w:r>
              <w:t>3</w:t>
            </w:r>
          </w:p>
        </w:tc>
        <w:tc>
          <w:tcPr>
            <w:tcW w:type="dxa" w:w="2200"/>
          </w:tcPr>
          <w:p>
            <w:pPr>
              <w:pStyle w:val="TableText"/>
              <w:keepNext w:val="0"/>
            </w:pPr>
            <w:r>
              <w:t>24–24</w:t>
            </w:r>
          </w:p>
        </w:tc>
        <w:tc>
          <w:tcPr>
            <w:tcW w:type="dxa" w:w="2260"/>
          </w:tcPr>
          <w:p>
            <w:pPr>
              <w:pStyle w:val="TableText"/>
              <w:keepNext w:val="0"/>
            </w:pPr>
            <w:r>
              <w:t>同楼＋楼外</w:t>
            </w:r>
          </w:p>
        </w:tc>
      </w:tr>
      <w:tr>
        <w:trPr>
          <w:cantSplit/>
        </w:trPr>
        <w:tc>
          <w:tcPr>
            <w:tcW w:type="dxa" w:w="2700"/>
          </w:tcPr>
          <w:p>
            <w:pPr>
              <w:pStyle w:val="TableText"/>
              <w:keepNext w:val="0"/>
            </w:pPr>
            <w:r>
              <w:t>S9hNv5qa7GM</w:t>
            </w:r>
          </w:p>
        </w:tc>
        <w:tc>
          <w:tcPr>
            <w:tcW w:type="dxa" w:w="2200"/>
          </w:tcPr>
          <w:p>
            <w:pPr>
              <w:pStyle w:val="TableText"/>
              <w:keepNext w:val="0"/>
            </w:pPr>
            <w:r>
              <w:t>2</w:t>
            </w:r>
          </w:p>
        </w:tc>
        <w:tc>
          <w:tcPr>
            <w:tcW w:type="dxa" w:w="2200"/>
          </w:tcPr>
          <w:p>
            <w:pPr>
              <w:pStyle w:val="TableText"/>
              <w:keepNext w:val="0"/>
            </w:pPr>
            <w:r>
              <w:t>20–20</w:t>
            </w:r>
          </w:p>
        </w:tc>
        <w:tc>
          <w:tcPr>
            <w:tcW w:type="dxa" w:w="2260"/>
          </w:tcPr>
          <w:p>
            <w:pPr>
              <w:pStyle w:val="TableText"/>
              <w:keepNext w:val="0"/>
            </w:pPr>
            <w:r>
              <w:t>同楼＋楼外</w:t>
            </w:r>
          </w:p>
        </w:tc>
      </w:tr>
      <w:tr>
        <w:trPr>
          <w:cantSplit/>
        </w:trPr>
        <w:tc>
          <w:tcPr>
            <w:tcW w:type="dxa" w:w="2700"/>
          </w:tcPr>
          <w:p>
            <w:pPr>
              <w:pStyle w:val="TableText"/>
              <w:keepNext w:val="0"/>
            </w:pPr>
            <w:r>
              <w:t>UwV83HsGsw3</w:t>
            </w:r>
          </w:p>
        </w:tc>
        <w:tc>
          <w:tcPr>
            <w:tcW w:type="dxa" w:w="2200"/>
          </w:tcPr>
          <w:p>
            <w:pPr>
              <w:pStyle w:val="TableText"/>
              <w:keepNext w:val="0"/>
            </w:pPr>
            <w:r>
              <w:t>6</w:t>
            </w:r>
          </w:p>
        </w:tc>
        <w:tc>
          <w:tcPr>
            <w:tcW w:type="dxa" w:w="2200"/>
          </w:tcPr>
          <w:p>
            <w:pPr>
              <w:pStyle w:val="TableText"/>
              <w:keepNext w:val="0"/>
            </w:pPr>
            <w:r>
              <w:t>23–24</w:t>
            </w:r>
          </w:p>
        </w:tc>
        <w:tc>
          <w:tcPr>
            <w:tcW w:type="dxa" w:w="2260"/>
          </w:tcPr>
          <w:p>
            <w:pPr>
              <w:pStyle w:val="TableText"/>
              <w:keepNext w:val="0"/>
            </w:pPr>
            <w:r>
              <w:t>同楼＋楼外</w:t>
            </w:r>
          </w:p>
        </w:tc>
      </w:tr>
      <w:tr>
        <w:trPr>
          <w:cantSplit/>
        </w:trPr>
        <w:tc>
          <w:tcPr>
            <w:tcW w:type="dxa" w:w="2700"/>
          </w:tcPr>
          <w:p>
            <w:pPr>
              <w:pStyle w:val="TableText"/>
              <w:keepNext w:val="0"/>
            </w:pPr>
            <w:r>
              <w:t>b8cTxDM8gDG</w:t>
            </w:r>
          </w:p>
        </w:tc>
        <w:tc>
          <w:tcPr>
            <w:tcW w:type="dxa" w:w="2200"/>
          </w:tcPr>
          <w:p>
            <w:pPr>
              <w:pStyle w:val="TableText"/>
              <w:keepNext w:val="0"/>
            </w:pPr>
            <w:r>
              <w:t>2</w:t>
            </w:r>
          </w:p>
        </w:tc>
        <w:tc>
          <w:tcPr>
            <w:tcW w:type="dxa" w:w="2200"/>
          </w:tcPr>
          <w:p>
            <w:pPr>
              <w:pStyle w:val="TableText"/>
              <w:keepNext w:val="0"/>
            </w:pPr>
            <w:r>
              <w:t>24–24</w:t>
            </w:r>
          </w:p>
        </w:tc>
        <w:tc>
          <w:tcPr>
            <w:tcW w:type="dxa" w:w="2260"/>
          </w:tcPr>
          <w:p>
            <w:pPr>
              <w:pStyle w:val="TableText"/>
              <w:keepNext w:val="0"/>
            </w:pPr>
            <w:r>
              <w:t>同楼＋楼外</w:t>
            </w:r>
          </w:p>
        </w:tc>
      </w:tr>
      <w:tr>
        <w:trPr>
          <w:cantSplit/>
        </w:trPr>
        <w:tc>
          <w:tcPr>
            <w:tcW w:type="dxa" w:w="2700"/>
          </w:tcPr>
          <w:p>
            <w:pPr>
              <w:pStyle w:val="TableText"/>
              <w:keepNext w:val="0"/>
            </w:pPr>
            <w:r>
              <w:t>q9vSo1VnCiC</w:t>
            </w:r>
          </w:p>
        </w:tc>
        <w:tc>
          <w:tcPr>
            <w:tcW w:type="dxa" w:w="2200"/>
          </w:tcPr>
          <w:p>
            <w:pPr>
              <w:pStyle w:val="TableText"/>
              <w:keepNext w:val="0"/>
            </w:pPr>
            <w:r>
              <w:t>5</w:t>
            </w:r>
          </w:p>
        </w:tc>
        <w:tc>
          <w:tcPr>
            <w:tcW w:type="dxa" w:w="2200"/>
          </w:tcPr>
          <w:p>
            <w:pPr>
              <w:pStyle w:val="TableText"/>
              <w:keepNext w:val="0"/>
            </w:pPr>
            <w:r>
              <w:t>24–24</w:t>
            </w:r>
          </w:p>
        </w:tc>
        <w:tc>
          <w:tcPr>
            <w:tcW w:type="dxa" w:w="2260"/>
          </w:tcPr>
          <w:p>
            <w:pPr>
              <w:pStyle w:val="TableText"/>
              <w:keepNext w:val="0"/>
            </w:pPr>
            <w:r>
              <w:t>同楼＋楼外</w:t>
            </w:r>
          </w:p>
        </w:tc>
      </w:tr>
      <w:tr>
        <w:trPr>
          <w:cantSplit/>
        </w:trPr>
        <w:tc>
          <w:tcPr>
            <w:tcW w:type="dxa" w:w="2700"/>
          </w:tcPr>
          <w:p>
            <w:pPr>
              <w:pStyle w:val="TableText"/>
              <w:keepNext w:val="0"/>
            </w:pPr>
            <w:r>
              <w:t>rPc6DW4iMge</w:t>
            </w:r>
          </w:p>
        </w:tc>
        <w:tc>
          <w:tcPr>
            <w:tcW w:type="dxa" w:w="2200"/>
          </w:tcPr>
          <w:p>
            <w:pPr>
              <w:pStyle w:val="TableText"/>
              <w:keepNext w:val="0"/>
            </w:pPr>
            <w:r>
              <w:t>6</w:t>
            </w:r>
          </w:p>
        </w:tc>
        <w:tc>
          <w:tcPr>
            <w:tcW w:type="dxa" w:w="2200"/>
          </w:tcPr>
          <w:p>
            <w:pPr>
              <w:pStyle w:val="TableText"/>
              <w:keepNext w:val="0"/>
            </w:pPr>
            <w:r>
              <w:t>22–24</w:t>
            </w:r>
          </w:p>
        </w:tc>
        <w:tc>
          <w:tcPr>
            <w:tcW w:type="dxa" w:w="2260"/>
          </w:tcPr>
          <w:p>
            <w:pPr>
              <w:pStyle w:val="TableText"/>
              <w:keepNext w:val="0"/>
            </w:pPr>
            <w:r>
              <w:t>同楼＋楼外</w:t>
            </w:r>
          </w:p>
        </w:tc>
      </w:tr>
      <w:tr>
        <w:trPr>
          <w:cantSplit/>
        </w:trPr>
        <w:tc>
          <w:tcPr>
            <w:tcW w:type="dxa" w:w="2700"/>
          </w:tcPr>
          <w:p>
            <w:pPr>
              <w:pStyle w:val="TableText"/>
              <w:keepNext w:val="0"/>
            </w:pPr>
            <w:r>
              <w:t>uNb9QFRL6hY</w:t>
            </w:r>
          </w:p>
        </w:tc>
        <w:tc>
          <w:tcPr>
            <w:tcW w:type="dxa" w:w="2200"/>
          </w:tcPr>
          <w:p>
            <w:pPr>
              <w:pStyle w:val="TableText"/>
              <w:keepNext w:val="0"/>
            </w:pPr>
            <w:r>
              <w:t>12</w:t>
            </w:r>
          </w:p>
        </w:tc>
        <w:tc>
          <w:tcPr>
            <w:tcW w:type="dxa" w:w="2200"/>
          </w:tcPr>
          <w:p>
            <w:pPr>
              <w:pStyle w:val="TableText"/>
              <w:keepNext w:val="0"/>
            </w:pPr>
            <w:r>
              <w:t>23–24</w:t>
            </w:r>
          </w:p>
        </w:tc>
        <w:tc>
          <w:tcPr>
            <w:tcW w:type="dxa" w:w="2260"/>
          </w:tcPr>
          <w:p>
            <w:pPr>
              <w:pStyle w:val="TableText"/>
              <w:keepNext w:val="0"/>
            </w:pPr>
            <w:r>
              <w:t>同楼＋楼外</w:t>
            </w:r>
          </w:p>
        </w:tc>
      </w:tr>
      <w:tr>
        <w:trPr>
          <w:cantSplit/>
        </w:trPr>
        <w:tc>
          <w:tcPr>
            <w:tcW w:type="dxa" w:w="2700"/>
          </w:tcPr>
          <w:p>
            <w:pPr>
              <w:pStyle w:val="TableText"/>
              <w:keepNext w:val="0"/>
            </w:pPr>
            <w:r>
              <w:t>wc2JMjhGNzB</w:t>
            </w:r>
          </w:p>
        </w:tc>
        <w:tc>
          <w:tcPr>
            <w:tcW w:type="dxa" w:w="2200"/>
          </w:tcPr>
          <w:p>
            <w:pPr>
              <w:pStyle w:val="TableText"/>
              <w:keepNext w:val="0"/>
            </w:pPr>
            <w:r>
              <w:t>4</w:t>
            </w:r>
          </w:p>
        </w:tc>
        <w:tc>
          <w:tcPr>
            <w:tcW w:type="dxa" w:w="2200"/>
          </w:tcPr>
          <w:p>
            <w:pPr>
              <w:pStyle w:val="TableText"/>
              <w:keepNext w:val="0"/>
            </w:pPr>
            <w:r>
              <w:t>23–24</w:t>
            </w:r>
          </w:p>
        </w:tc>
        <w:tc>
          <w:tcPr>
            <w:tcW w:type="dxa" w:w="2260"/>
          </w:tcPr>
          <w:p>
            <w:pPr>
              <w:pStyle w:val="TableText"/>
              <w:keepNext w:val="0"/>
            </w:pPr>
            <w:r>
              <w:t>同楼＋楼外</w:t>
            </w:r>
          </w:p>
        </w:tc>
      </w:tr>
      <w:tr>
        <w:trPr>
          <w:cantSplit/>
        </w:trPr>
        <w:tc>
          <w:tcPr>
            <w:tcW w:type="dxa" w:w="2700"/>
          </w:tcPr>
          <w:p>
            <w:pPr>
              <w:pStyle w:val="TableText"/>
              <w:keepNext w:val="0"/>
            </w:pPr>
            <w:r>
              <w:t>yqstnuAEVhm</w:t>
            </w:r>
          </w:p>
        </w:tc>
        <w:tc>
          <w:tcPr>
            <w:tcW w:type="dxa" w:w="2200"/>
          </w:tcPr>
          <w:p>
            <w:pPr>
              <w:pStyle w:val="TableText"/>
              <w:keepNext w:val="0"/>
            </w:pPr>
            <w:r>
              <w:t>7</w:t>
            </w:r>
          </w:p>
        </w:tc>
        <w:tc>
          <w:tcPr>
            <w:tcW w:type="dxa" w:w="2200"/>
          </w:tcPr>
          <w:p>
            <w:pPr>
              <w:pStyle w:val="TableText"/>
              <w:keepNext w:val="0"/>
            </w:pPr>
            <w:r>
              <w:t>23–24</w:t>
            </w:r>
          </w:p>
        </w:tc>
        <w:tc>
          <w:tcPr>
            <w:tcW w:type="dxa" w:w="2260"/>
          </w:tcPr>
          <w:p>
            <w:pPr>
              <w:pStyle w:val="TableText"/>
              <w:keepNext w:val="0"/>
            </w:pPr>
            <w:r>
              <w:t>同楼＋楼外</w:t>
            </w:r>
          </w:p>
        </w:tc>
      </w:tr>
      <w:tr>
        <w:trPr>
          <w:cantSplit/>
        </w:trPr>
        <w:tc>
          <w:tcPr>
            <w:tcW w:type="dxa" w:w="2700"/>
          </w:tcPr>
          <w:p>
            <w:pPr>
              <w:pStyle w:val="TableText"/>
              <w:keepNext w:val="0"/>
            </w:pPr>
            <w:r>
              <w:t>5个单图building</w:t>
            </w:r>
          </w:p>
        </w:tc>
        <w:tc>
          <w:tcPr>
            <w:tcW w:type="dxa" w:w="2200"/>
          </w:tcPr>
          <w:p>
            <w:pPr>
              <w:pStyle w:val="TableText"/>
              <w:keepNext w:val="0"/>
            </w:pPr>
            <w:r>
              <w:t>5</w:t>
            </w:r>
          </w:p>
        </w:tc>
        <w:tc>
          <w:tcPr>
            <w:tcW w:type="dxa" w:w="2200"/>
          </w:tcPr>
          <w:p>
            <w:pPr>
              <w:pStyle w:val="TableText"/>
              <w:keepNext w:val="0"/>
            </w:pPr>
            <w:r>
              <w:t>19–24</w:t>
            </w:r>
          </w:p>
        </w:tc>
        <w:tc>
          <w:tcPr>
            <w:tcW w:type="dxa" w:w="2260"/>
          </w:tcPr>
          <w:p>
            <w:pPr>
              <w:pStyle w:val="TableText"/>
              <w:keepNext w:val="0"/>
            </w:pPr>
            <w:r>
              <w:t>楼外单列</w:t>
            </w:r>
          </w:p>
        </w:tc>
      </w:tr>
    </w:tbl>
    <w:p>
      <w:r>
        <w:t>单图building：VFuaQ6m2Qom、X7HyMhZNoso、e9zR4mvMWw7、pRbA3pwrgk9、x8F5xyUWy9e。</w:t>
      </w:r>
    </w:p>
    <w:p>
      <w:r>
        <w:t>主对照H=20。VFuaQ6m2Qom仅19人，纳入55图H=19的楼外检验；H=22/23/24补充结果另列，不混算不同观察终点。</w:t>
      </w:r>
    </w:p>
    <w:p>
      <w:r>
        <w:t>q=.95、H=20、持续阶段主定义：含W19/W26：50图中起点可识别13图、观察内未达到26图、起点不确定11图。 排除W19/W26：50图中起点可识别15图、观察内未达到27图、起点不确定8图。</w:t>
      </w:r>
    </w:p>
    <w:p>
      <w:r>
        <w:t>同building只定义当前分组，不代表所有图属于同一物理房间。房间身份未在本轮验证；不同图的稳定阶段差异不能自动归因于房间类别。</w:t>
      </w:r>
    </w:p>
    <w:p>
      <w:pPr>
        <w:pStyle w:val="Heading1"/>
        <w:pageBreakBefore/>
      </w:pPr>
      <w:r>
        <w:t>uNb：同楼图像存在不同的稳定阶段</w:t>
      </w:r>
    </w:p>
    <w:p>
      <w:r>
        <w:t>uNb共有12张高人数图。本页统一H=23、q=.95、两人支持和0.10变化容差。约7人、11–14人、18人的起点同时出现；还存在观察范围内未达到和起点不确定的图。</w:t>
      </w:r>
    </w:p>
    <w:p>
      <w:pPr>
        <w:keepNext/>
        <w:spacing w:after="0"/>
      </w:pPr>
      <w:r>
        <w:drawing>
          <wp:inline xmlns:a="http://schemas.openxmlformats.org/drawingml/2006/main" xmlns:pic="http://schemas.openxmlformats.org/drawingml/2006/picture">
            <wp:extent cx="5760720" cy="3401568"/>
            <wp:docPr id="2" name="Picture 2"/>
            <wp:cNvGraphicFramePr>
              <a:graphicFrameLocks noChangeAspect="1"/>
            </wp:cNvGraphicFramePr>
            <a:graphic>
              <a:graphicData uri="http://schemas.openxmlformats.org/drawingml/2006/picture">
                <pic:pic>
                  <pic:nvPicPr>
                    <pic:cNvPr id="0" name="unb_stage_curves.png"/>
                    <pic:cNvPicPr/>
                  </pic:nvPicPr>
                  <pic:blipFill>
                    <a:blip r:embed="rId12"/>
                    <a:stretch>
                      <a:fillRect/>
                    </a:stretch>
                  </pic:blipFill>
                  <pic:spPr>
                    <a:xfrm>
                      <a:off x="0" y="0"/>
                      <a:ext cx="5760720" cy="3401568"/>
                    </a:xfrm>
                    <a:prstGeom prst="rect"/>
                  </pic:spPr>
                </pic:pic>
              </a:graphicData>
            </a:graphic>
          </wp:inline>
        </w:drawing>
      </w:r>
    </w:p>
    <w:p>
      <w:pPr>
        <w:pStyle w:val="Caption"/>
      </w:pPr>
      <w:r>
        <w:t>图2 六张uNb图的持续阶段曲线；阴影表示未知状态范围，横虚线为80%。</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图像短ID</w:t>
            </w:r>
          </w:p>
        </w:tc>
        <w:tc>
          <w:tcPr>
            <w:tcW w:type="dxa" w:w="2650"/>
            <w:shd w:fill="F2F4F7"/>
          </w:tcPr>
          <w:p>
            <w:pPr>
              <w:pStyle w:val="TableHeader"/>
              <w:keepNext/>
            </w:pPr>
            <w:r>
              <w:t>含W19/W26</w:t>
            </w:r>
          </w:p>
        </w:tc>
        <w:tc>
          <w:tcPr>
            <w:tcW w:type="dxa" w:w="4360"/>
            <w:shd w:fill="F2F4F7"/>
          </w:tcPr>
          <w:p>
            <w:pPr>
              <w:pStyle w:val="TableHeader"/>
              <w:keepNext/>
            </w:pPr>
            <w:r>
              <w:t>排除W19/W26</w:t>
            </w:r>
          </w:p>
        </w:tc>
      </w:tr>
      <w:tr>
        <w:trPr>
          <w:cantSplit/>
        </w:trPr>
        <w:tc>
          <w:tcPr>
            <w:tcW w:type="dxa" w:w="2350"/>
          </w:tcPr>
          <w:p>
            <w:pPr>
              <w:pStyle w:val="TableText"/>
              <w:keepNext w:val="0"/>
            </w:pPr>
            <w:r>
              <w:t>1096f195</w:t>
            </w:r>
          </w:p>
        </w:tc>
        <w:tc>
          <w:tcPr>
            <w:tcW w:type="dxa" w:w="2650"/>
          </w:tcPr>
          <w:p>
            <w:pPr>
              <w:pStyle w:val="TableText"/>
              <w:keepNext w:val="0"/>
            </w:pPr>
            <w:r>
              <w:t>7</w:t>
            </w:r>
          </w:p>
        </w:tc>
        <w:tc>
          <w:tcPr>
            <w:tcW w:type="dxa" w:w="4360"/>
          </w:tcPr>
          <w:p>
            <w:pPr>
              <w:pStyle w:val="TableText"/>
              <w:keepNext w:val="0"/>
            </w:pPr>
            <w:r>
              <w:t>7</w:t>
            </w:r>
          </w:p>
        </w:tc>
      </w:tr>
      <w:tr>
        <w:trPr>
          <w:cantSplit/>
        </w:trPr>
        <w:tc>
          <w:tcPr>
            <w:tcW w:type="dxa" w:w="2350"/>
          </w:tcPr>
          <w:p>
            <w:pPr>
              <w:pStyle w:val="TableText"/>
              <w:keepNext w:val="0"/>
            </w:pPr>
            <w:r>
              <w:t>d02f87bb</w:t>
            </w:r>
          </w:p>
        </w:tc>
        <w:tc>
          <w:tcPr>
            <w:tcW w:type="dxa" w:w="2650"/>
          </w:tcPr>
          <w:p>
            <w:pPr>
              <w:pStyle w:val="TableText"/>
              <w:keepNext w:val="0"/>
            </w:pPr>
            <w:r>
              <w:t>11</w:t>
            </w:r>
          </w:p>
        </w:tc>
        <w:tc>
          <w:tcPr>
            <w:tcW w:type="dxa" w:w="4360"/>
          </w:tcPr>
          <w:p>
            <w:pPr>
              <w:pStyle w:val="TableText"/>
              <w:keepNext w:val="0"/>
            </w:pPr>
            <w:r>
              <w:t>7</w:t>
            </w:r>
          </w:p>
        </w:tc>
      </w:tr>
      <w:tr>
        <w:trPr>
          <w:cantSplit/>
        </w:trPr>
        <w:tc>
          <w:tcPr>
            <w:tcW w:type="dxa" w:w="2350"/>
          </w:tcPr>
          <w:p>
            <w:pPr>
              <w:pStyle w:val="TableText"/>
              <w:keepNext w:val="0"/>
            </w:pPr>
            <w:r>
              <w:t>bcce4f23</w:t>
            </w:r>
          </w:p>
        </w:tc>
        <w:tc>
          <w:tcPr>
            <w:tcW w:type="dxa" w:w="2650"/>
          </w:tcPr>
          <w:p>
            <w:pPr>
              <w:pStyle w:val="TableText"/>
              <w:keepNext w:val="0"/>
            </w:pPr>
            <w:r>
              <w:t>14</w:t>
            </w:r>
          </w:p>
        </w:tc>
        <w:tc>
          <w:tcPr>
            <w:tcW w:type="dxa" w:w="4360"/>
          </w:tcPr>
          <w:p>
            <w:pPr>
              <w:pStyle w:val="TableText"/>
              <w:keepNext w:val="0"/>
            </w:pPr>
            <w:r>
              <w:t>11</w:t>
            </w:r>
          </w:p>
        </w:tc>
      </w:tr>
      <w:tr>
        <w:trPr>
          <w:cantSplit/>
        </w:trPr>
        <w:tc>
          <w:tcPr>
            <w:tcW w:type="dxa" w:w="2350"/>
          </w:tcPr>
          <w:p>
            <w:pPr>
              <w:pStyle w:val="TableText"/>
              <w:keepNext w:val="0"/>
            </w:pPr>
            <w:r>
              <w:t>07a43087</w:t>
            </w:r>
          </w:p>
        </w:tc>
        <w:tc>
          <w:tcPr>
            <w:tcW w:type="dxa" w:w="2650"/>
          </w:tcPr>
          <w:p>
            <w:pPr>
              <w:pStyle w:val="TableText"/>
              <w:keepNext w:val="0"/>
            </w:pPr>
            <w:r>
              <w:t>18</w:t>
            </w:r>
          </w:p>
        </w:tc>
        <w:tc>
          <w:tcPr>
            <w:tcW w:type="dxa" w:w="4360"/>
          </w:tcPr>
          <w:p>
            <w:pPr>
              <w:pStyle w:val="TableText"/>
              <w:keepNext w:val="0"/>
            </w:pPr>
            <w:r>
              <w:t>18</w:t>
            </w:r>
          </w:p>
        </w:tc>
      </w:tr>
      <w:tr>
        <w:trPr>
          <w:cantSplit/>
        </w:trPr>
        <w:tc>
          <w:tcPr>
            <w:tcW w:type="dxa" w:w="2350"/>
          </w:tcPr>
          <w:p>
            <w:pPr>
              <w:pStyle w:val="TableText"/>
              <w:keepNext w:val="0"/>
            </w:pPr>
            <w:r>
              <w:t>3b9e548b</w:t>
            </w:r>
          </w:p>
        </w:tc>
        <w:tc>
          <w:tcPr>
            <w:tcW w:type="dxa" w:w="2650"/>
          </w:tcPr>
          <w:p>
            <w:pPr>
              <w:pStyle w:val="TableText"/>
              <w:keepNext w:val="0"/>
            </w:pPr>
            <w:r>
              <w:t>观察范围内未达到</w:t>
            </w:r>
          </w:p>
        </w:tc>
        <w:tc>
          <w:tcPr>
            <w:tcW w:type="dxa" w:w="4360"/>
          </w:tcPr>
          <w:p>
            <w:pPr>
              <w:pStyle w:val="TableText"/>
              <w:keepNext w:val="0"/>
            </w:pPr>
            <w:r>
              <w:t>观察范围内未达到</w:t>
            </w:r>
          </w:p>
        </w:tc>
      </w:tr>
      <w:tr>
        <w:trPr>
          <w:cantSplit/>
        </w:trPr>
        <w:tc>
          <w:tcPr>
            <w:tcW w:type="dxa" w:w="2350"/>
          </w:tcPr>
          <w:p>
            <w:pPr>
              <w:pStyle w:val="TableText"/>
              <w:keepNext w:val="0"/>
            </w:pPr>
            <w:r>
              <w:t>978d7a8e</w:t>
            </w:r>
          </w:p>
        </w:tc>
        <w:tc>
          <w:tcPr>
            <w:tcW w:type="dxa" w:w="2650"/>
          </w:tcPr>
          <w:p>
            <w:pPr>
              <w:pStyle w:val="TableText"/>
              <w:keepNext w:val="0"/>
            </w:pPr>
            <w:r>
              <w:t>起点仍有不确定</w:t>
            </w:r>
          </w:p>
        </w:tc>
        <w:tc>
          <w:tcPr>
            <w:tcW w:type="dxa" w:w="4360"/>
          </w:tcPr>
          <w:p>
            <w:pPr>
              <w:pStyle w:val="TableText"/>
              <w:keepNext w:val="0"/>
            </w:pPr>
            <w:r>
              <w:t>起点仍有不确定</w:t>
            </w:r>
          </w:p>
        </w:tc>
      </w:tr>
    </w:tbl>
    <w:p>
      <w:r>
        <w:t>07a43087在k=18时有182/200与189/200条顺序达标；这些达标顺序全部包含至少两个各有≥2人支持的簇。该图的多簇结构没有被判成稳定失败。</w:t>
      </w:r>
    </w:p>
    <w:p>
      <w:r>
        <w:t>新定义要求同一顺序持续至H；旧h5摘要与这些人数不能混算。</w:t>
      </w:r>
    </w:p>
    <w:p>
      <w:pPr>
        <w:pStyle w:val="Heading1"/>
        <w:pageBreakBefore/>
      </w:pPr>
      <w:r>
        <w:t>分簇方法与q阈值的敏感性</w:t>
      </w:r>
    </w:p>
    <w:p>
      <w:pPr>
        <w:keepNext/>
        <w:spacing w:after="0"/>
      </w:pPr>
      <w:r>
        <w:drawing>
          <wp:inline xmlns:a="http://schemas.openxmlformats.org/drawingml/2006/main" xmlns:pic="http://schemas.openxmlformats.org/drawingml/2006/picture">
            <wp:extent cx="5852160" cy="2252273"/>
            <wp:docPr id="3" name="Picture 3"/>
            <wp:cNvGraphicFramePr>
              <a:graphicFrameLocks noChangeAspect="1"/>
            </wp:cNvGraphicFramePr>
            <a:graphic>
              <a:graphicData uri="http://schemas.openxmlformats.org/drawingml/2006/picture">
                <pic:pic>
                  <pic:nvPicPr>
                    <pic:cNvPr id="0" name="q_sensitivity.png"/>
                    <pic:cNvPicPr/>
                  </pic:nvPicPr>
                  <pic:blipFill>
                    <a:blip r:embed="rId13"/>
                    <a:stretch>
                      <a:fillRect/>
                    </a:stretch>
                  </pic:blipFill>
                  <pic:spPr>
                    <a:xfrm>
                      <a:off x="0" y="0"/>
                      <a:ext cx="5852160" cy="2252273"/>
                    </a:xfrm>
                    <a:prstGeom prst="rect"/>
                  </pic:spPr>
                </pic:pic>
              </a:graphicData>
            </a:graphic>
          </wp:inline>
        </w:drawing>
      </w:r>
    </w:p>
    <w:p>
      <w:pPr>
        <w:pStyle w:val="Caption"/>
      </w:pPr>
      <w:r>
        <w:t>图3 H=20的54图；相同数据、相同人员顺序与稳定标准，仅改变几何配置。</w:t>
      </w:r>
    </w:p>
    <w:p>
      <w:r>
        <w:t>v5一系保留逐次最大完全子图产生的全部候选分区，仅在分区唯一时给出簇归属。凝聚complete-link补充按连续几何距离合并；仍限制同点数且簇内任意两份距离达标，但相等距离可能受固定输入顺序影响。</w:t>
      </w:r>
    </w:p>
    <w:p>
      <w:r>
        <w:t>q=.95不是95%置信度。按现有公式，它对应上下边界平均绝对差不超过25.6像素（1024×512画布），以及墙事件双向最近横向距离均值不超过25.6像素，即约9°。这些是平均通道误差，不是所有角点都在9°以内；还要求现有配对/循环对应可用。</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q</w:t>
            </w:r>
          </w:p>
        </w:tc>
        <w:tc>
          <w:tcPr>
            <w:tcW w:type="dxa" w:w="2650"/>
            <w:shd w:fill="F2F4F7"/>
          </w:tcPr>
          <w:p>
            <w:pPr>
              <w:pStyle w:val="TableHeader"/>
              <w:keepNext/>
            </w:pPr>
            <w:r>
              <w:t>边界平均差上限（像素）</w:t>
            </w:r>
          </w:p>
        </w:tc>
        <w:tc>
          <w:tcPr>
            <w:tcW w:type="dxa" w:w="4360"/>
            <w:shd w:fill="F2F4F7"/>
          </w:tcPr>
          <w:p>
            <w:pPr>
              <w:pStyle w:val="TableHeader"/>
              <w:keepNext/>
            </w:pPr>
            <w:r>
              <w:t>墙事件平均横向角距</w:t>
            </w:r>
          </w:p>
        </w:tc>
      </w:tr>
      <w:tr>
        <w:trPr>
          <w:cantSplit/>
        </w:trPr>
        <w:tc>
          <w:tcPr>
            <w:tcW w:type="dxa" w:w="2350"/>
          </w:tcPr>
          <w:p>
            <w:pPr>
              <w:pStyle w:val="TableText"/>
              <w:keepNext w:val="0"/>
            </w:pPr>
            <w:r>
              <w:t>.975</w:t>
            </w:r>
          </w:p>
        </w:tc>
        <w:tc>
          <w:tcPr>
            <w:tcW w:type="dxa" w:w="2650"/>
          </w:tcPr>
          <w:p>
            <w:pPr>
              <w:pStyle w:val="TableText"/>
              <w:keepNext w:val="0"/>
            </w:pPr>
            <w:r>
              <w:t>12.8</w:t>
            </w:r>
          </w:p>
        </w:tc>
        <w:tc>
          <w:tcPr>
            <w:tcW w:type="dxa" w:w="4360"/>
          </w:tcPr>
          <w:p>
            <w:pPr>
              <w:pStyle w:val="TableText"/>
              <w:keepNext w:val="0"/>
            </w:pPr>
            <w:r>
              <w:t>4.5°</w:t>
            </w:r>
          </w:p>
        </w:tc>
      </w:tr>
      <w:tr>
        <w:trPr>
          <w:cantSplit/>
        </w:trPr>
        <w:tc>
          <w:tcPr>
            <w:tcW w:type="dxa" w:w="2350"/>
          </w:tcPr>
          <w:p>
            <w:pPr>
              <w:pStyle w:val="TableText"/>
              <w:keepNext w:val="0"/>
            </w:pPr>
            <w:r>
              <w:t>.950</w:t>
            </w:r>
          </w:p>
        </w:tc>
        <w:tc>
          <w:tcPr>
            <w:tcW w:type="dxa" w:w="2650"/>
          </w:tcPr>
          <w:p>
            <w:pPr>
              <w:pStyle w:val="TableText"/>
              <w:keepNext w:val="0"/>
            </w:pPr>
            <w:r>
              <w:t>25.6</w:t>
            </w:r>
          </w:p>
        </w:tc>
        <w:tc>
          <w:tcPr>
            <w:tcW w:type="dxa" w:w="4360"/>
          </w:tcPr>
          <w:p>
            <w:pPr>
              <w:pStyle w:val="TableText"/>
              <w:keepNext w:val="0"/>
            </w:pPr>
            <w:r>
              <w:t>9°</w:t>
            </w:r>
          </w:p>
        </w:tc>
      </w:tr>
      <w:tr>
        <w:trPr>
          <w:cantSplit/>
        </w:trPr>
        <w:tc>
          <w:tcPr>
            <w:tcW w:type="dxa" w:w="2350"/>
          </w:tcPr>
          <w:p>
            <w:pPr>
              <w:pStyle w:val="TableText"/>
              <w:keepNext w:val="0"/>
            </w:pPr>
            <w:r>
              <w:t>.925</w:t>
            </w:r>
          </w:p>
        </w:tc>
        <w:tc>
          <w:tcPr>
            <w:tcW w:type="dxa" w:w="2650"/>
          </w:tcPr>
          <w:p>
            <w:pPr>
              <w:pStyle w:val="TableText"/>
              <w:keepNext w:val="0"/>
            </w:pPr>
            <w:r>
              <w:t>38.4</w:t>
            </w:r>
          </w:p>
        </w:tc>
        <w:tc>
          <w:tcPr>
            <w:tcW w:type="dxa" w:w="4360"/>
          </w:tcPr>
          <w:p>
            <w:pPr>
              <w:pStyle w:val="TableText"/>
              <w:keepNext w:val="0"/>
            </w:pPr>
            <w:r>
              <w:t>13.5°</w:t>
            </w:r>
          </w:p>
        </w:tc>
      </w:tr>
      <w:tr>
        <w:trPr>
          <w:cantSplit/>
        </w:trPr>
        <w:tc>
          <w:tcPr>
            <w:tcW w:type="dxa" w:w="2350"/>
          </w:tcPr>
          <w:p>
            <w:pPr>
              <w:pStyle w:val="TableText"/>
              <w:keepNext w:val="0"/>
            </w:pPr>
            <w:r>
              <w:t>.900</w:t>
            </w:r>
          </w:p>
        </w:tc>
        <w:tc>
          <w:tcPr>
            <w:tcW w:type="dxa" w:w="2650"/>
          </w:tcPr>
          <w:p>
            <w:pPr>
              <w:pStyle w:val="TableText"/>
              <w:keepNext w:val="0"/>
            </w:pPr>
            <w:r>
              <w:t>51.2</w:t>
            </w:r>
          </w:p>
        </w:tc>
        <w:tc>
          <w:tcPr>
            <w:tcW w:type="dxa" w:w="4360"/>
          </w:tcPr>
          <w:p>
            <w:pPr>
              <w:pStyle w:val="TableText"/>
              <w:keepNext w:val="0"/>
            </w:pPr>
            <w:r>
              <w:t>18°</w:t>
            </w:r>
          </w:p>
        </w:tc>
      </w:tr>
    </w:tbl>
    <w:p>
      <w:r>
        <w:t>当前没有独立人工“应同簇／应异簇”标定集，因此本轮没有确定最优q。q=.95作为固定对照保留，完整网格和70%/80%/90%阶段达标率敏感性均已落盘。算法减少不确定分区，不等于证明某个分区是真实语义。</w:t>
      </w:r>
    </w:p>
    <w:p>
      <w:r>
        <w:t>人工复核的删点、补点和响应暂排已沿用。撤回两份补点的敏感性中，部分图由“观察内未达到”转为“仍不确定”；两图没有因此获得新的可识别起点。</w:t>
      </w:r>
    </w:p>
    <w:p>
      <w:pPr>
        <w:pStyle w:val="Heading1"/>
        <w:pageBreakBefore/>
      </w:pPr>
      <w:r>
        <w:t>留图预测的分配和评价</w:t>
      </w:r>
    </w:p>
    <w:p>
      <w:r>
        <w:t>先把每楼图像划为历史源和互补目标，再预测目标的持续阶段。目标图完整标注只用于评价。分配用标注前图像风险的楼内分位段、共同人数做边际平衡，同时保留未筛平衡条件的对照。每类最多保留200种可行划分，小规模时全部枚举。</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700"/>
        <w:gridCol w:w="2200"/>
        <w:gridCol w:w="2200"/>
        <w:gridCol w:w="2260"/>
      </w:tblGrid>
      <w:tr>
        <w:trPr>
          <w:cantSplit/>
          <w:tblHeader/>
        </w:trPr>
        <w:tc>
          <w:tcPr>
            <w:tcW w:type="dxa" w:w="2700"/>
            <w:shd w:fill="F2F4F7"/>
          </w:tcPr>
          <w:p>
            <w:pPr>
              <w:pStyle w:val="TableHeader"/>
              <w:keepNext/>
            </w:pPr>
            <w:r>
              <w:t>building</w:t>
            </w:r>
          </w:p>
        </w:tc>
        <w:tc>
          <w:tcPr>
            <w:tcW w:type="dxa" w:w="2200"/>
            <w:shd w:fill="F2F4F7"/>
          </w:tcPr>
          <w:p>
            <w:pPr>
              <w:pStyle w:val="TableHeader"/>
              <w:keepNext/>
            </w:pPr>
            <w:r>
              <w:t>约50%历史→目标</w:t>
            </w:r>
          </w:p>
        </w:tc>
        <w:tc>
          <w:tcPr>
            <w:tcW w:type="dxa" w:w="2200"/>
            <w:shd w:fill="F2F4F7"/>
          </w:tcPr>
          <w:p>
            <w:pPr>
              <w:pStyle w:val="TableHeader"/>
              <w:keepNext/>
            </w:pPr>
            <w:r>
              <w:t>约60%历史→目标</w:t>
            </w:r>
          </w:p>
        </w:tc>
        <w:tc>
          <w:tcPr>
            <w:tcW w:type="dxa" w:w="2260"/>
            <w:shd w:fill="F2F4F7"/>
          </w:tcPr>
          <w:p>
            <w:pPr>
              <w:pStyle w:val="TableHeader"/>
              <w:keepNext/>
            </w:pPr>
            <w:r>
              <w:t>平衡划分数</w:t>
            </w:r>
          </w:p>
        </w:tc>
      </w:tr>
      <w:tr>
        <w:trPr>
          <w:cantSplit/>
        </w:trPr>
        <w:tc>
          <w:tcPr>
            <w:tcW w:type="dxa" w:w="2700"/>
          </w:tcPr>
          <w:p>
            <w:pPr>
              <w:pStyle w:val="TableText"/>
              <w:keepNext w:val="0"/>
            </w:pPr>
            <w:r>
              <w:t>7y3sRwLe3Va</w:t>
            </w:r>
          </w:p>
        </w:tc>
        <w:tc>
          <w:tcPr>
            <w:tcW w:type="dxa" w:w="2200"/>
          </w:tcPr>
          <w:p>
            <w:pPr>
              <w:pStyle w:val="TableText"/>
              <w:keepNext w:val="0"/>
            </w:pPr>
            <w:r>
              <w:t>2→1</w:t>
            </w:r>
          </w:p>
        </w:tc>
        <w:tc>
          <w:tcPr>
            <w:tcW w:type="dxa" w:w="2200"/>
          </w:tcPr>
          <w:p>
            <w:pPr>
              <w:pStyle w:val="TableText"/>
              <w:keepNext w:val="0"/>
            </w:pPr>
            <w:r>
              <w:t>2→1</w:t>
            </w:r>
          </w:p>
        </w:tc>
        <w:tc>
          <w:tcPr>
            <w:tcW w:type="dxa" w:w="2260"/>
          </w:tcPr>
          <w:p>
            <w:pPr>
              <w:pStyle w:val="TableText"/>
              <w:keepNext w:val="0"/>
            </w:pPr>
            <w:r>
              <w:t>3 / 3</w:t>
            </w:r>
          </w:p>
        </w:tc>
      </w:tr>
      <w:tr>
        <w:trPr>
          <w:cantSplit/>
        </w:trPr>
        <w:tc>
          <w:tcPr>
            <w:tcW w:type="dxa" w:w="2700"/>
          </w:tcPr>
          <w:p>
            <w:pPr>
              <w:pStyle w:val="TableText"/>
              <w:keepNext w:val="0"/>
            </w:pPr>
            <w:r>
              <w:t>B6ByNegPMKs</w:t>
            </w:r>
          </w:p>
        </w:tc>
        <w:tc>
          <w:tcPr>
            <w:tcW w:type="dxa" w:w="2200"/>
          </w:tcPr>
          <w:p>
            <w:pPr>
              <w:pStyle w:val="TableText"/>
              <w:keepNext w:val="0"/>
            </w:pPr>
            <w:r>
              <w:t>2→1</w:t>
            </w:r>
          </w:p>
        </w:tc>
        <w:tc>
          <w:tcPr>
            <w:tcW w:type="dxa" w:w="2200"/>
          </w:tcPr>
          <w:p>
            <w:pPr>
              <w:pStyle w:val="TableText"/>
              <w:keepNext w:val="0"/>
            </w:pPr>
            <w:r>
              <w:t>2→1</w:t>
            </w:r>
          </w:p>
        </w:tc>
        <w:tc>
          <w:tcPr>
            <w:tcW w:type="dxa" w:w="2260"/>
          </w:tcPr>
          <w:p>
            <w:pPr>
              <w:pStyle w:val="TableText"/>
              <w:keepNext w:val="0"/>
            </w:pPr>
            <w:r>
              <w:t>3 / 3</w:t>
            </w:r>
          </w:p>
        </w:tc>
      </w:tr>
      <w:tr>
        <w:trPr>
          <w:cantSplit/>
        </w:trPr>
        <w:tc>
          <w:tcPr>
            <w:tcW w:type="dxa" w:w="2700"/>
          </w:tcPr>
          <w:p>
            <w:pPr>
              <w:pStyle w:val="TableText"/>
              <w:keepNext w:val="0"/>
            </w:pPr>
            <w:r>
              <w:t>S9hNv5qa7GM</w:t>
            </w:r>
          </w:p>
        </w:tc>
        <w:tc>
          <w:tcPr>
            <w:tcW w:type="dxa" w:w="2200"/>
          </w:tcPr>
          <w:p>
            <w:pPr>
              <w:pStyle w:val="TableText"/>
              <w:keepNext w:val="0"/>
            </w:pPr>
            <w:r>
              <w:t>1→1</w:t>
            </w:r>
          </w:p>
        </w:tc>
        <w:tc>
          <w:tcPr>
            <w:tcW w:type="dxa" w:w="2200"/>
          </w:tcPr>
          <w:p>
            <w:pPr>
              <w:pStyle w:val="TableText"/>
              <w:keepNext w:val="0"/>
            </w:pPr>
            <w:r>
              <w:t>1→1</w:t>
            </w:r>
          </w:p>
        </w:tc>
        <w:tc>
          <w:tcPr>
            <w:tcW w:type="dxa" w:w="2260"/>
          </w:tcPr>
          <w:p>
            <w:pPr>
              <w:pStyle w:val="TableText"/>
              <w:keepNext w:val="0"/>
            </w:pPr>
            <w:r>
              <w:t>2 / 2</w:t>
            </w:r>
          </w:p>
        </w:tc>
      </w:tr>
      <w:tr>
        <w:trPr>
          <w:cantSplit/>
        </w:trPr>
        <w:tc>
          <w:tcPr>
            <w:tcW w:type="dxa" w:w="2700"/>
          </w:tcPr>
          <w:p>
            <w:pPr>
              <w:pStyle w:val="TableText"/>
              <w:keepNext w:val="0"/>
            </w:pPr>
            <w:r>
              <w:t>UwV83HsGsw3</w:t>
            </w:r>
          </w:p>
        </w:tc>
        <w:tc>
          <w:tcPr>
            <w:tcW w:type="dxa" w:w="2200"/>
          </w:tcPr>
          <w:p>
            <w:pPr>
              <w:pStyle w:val="TableText"/>
              <w:keepNext w:val="0"/>
            </w:pPr>
            <w:r>
              <w:t>3→3</w:t>
            </w:r>
          </w:p>
        </w:tc>
        <w:tc>
          <w:tcPr>
            <w:tcW w:type="dxa" w:w="2200"/>
          </w:tcPr>
          <w:p>
            <w:pPr>
              <w:pStyle w:val="TableText"/>
              <w:keepNext w:val="0"/>
            </w:pPr>
            <w:r>
              <w:t>4→2</w:t>
            </w:r>
          </w:p>
        </w:tc>
        <w:tc>
          <w:tcPr>
            <w:tcW w:type="dxa" w:w="2260"/>
          </w:tcPr>
          <w:p>
            <w:pPr>
              <w:pStyle w:val="TableText"/>
              <w:keepNext w:val="0"/>
            </w:pPr>
            <w:r>
              <w:t>8 / 12</w:t>
            </w:r>
          </w:p>
        </w:tc>
      </w:tr>
      <w:tr>
        <w:trPr>
          <w:cantSplit/>
        </w:trPr>
        <w:tc>
          <w:tcPr>
            <w:tcW w:type="dxa" w:w="2700"/>
          </w:tcPr>
          <w:p>
            <w:pPr>
              <w:pStyle w:val="TableText"/>
              <w:keepNext w:val="0"/>
            </w:pPr>
            <w:r>
              <w:t>b8cTxDM8gDG</w:t>
            </w:r>
          </w:p>
        </w:tc>
        <w:tc>
          <w:tcPr>
            <w:tcW w:type="dxa" w:w="2200"/>
          </w:tcPr>
          <w:p>
            <w:pPr>
              <w:pStyle w:val="TableText"/>
              <w:keepNext w:val="0"/>
            </w:pPr>
            <w:r>
              <w:t>1→1</w:t>
            </w:r>
          </w:p>
        </w:tc>
        <w:tc>
          <w:tcPr>
            <w:tcW w:type="dxa" w:w="2200"/>
          </w:tcPr>
          <w:p>
            <w:pPr>
              <w:pStyle w:val="TableText"/>
              <w:keepNext w:val="0"/>
            </w:pPr>
            <w:r>
              <w:t>1→1</w:t>
            </w:r>
          </w:p>
        </w:tc>
        <w:tc>
          <w:tcPr>
            <w:tcW w:type="dxa" w:w="2260"/>
          </w:tcPr>
          <w:p>
            <w:pPr>
              <w:pStyle w:val="TableText"/>
              <w:keepNext w:val="0"/>
            </w:pPr>
            <w:r>
              <w:t>2 / 2</w:t>
            </w:r>
          </w:p>
        </w:tc>
      </w:tr>
      <w:tr>
        <w:trPr>
          <w:cantSplit/>
        </w:trPr>
        <w:tc>
          <w:tcPr>
            <w:tcW w:type="dxa" w:w="2700"/>
          </w:tcPr>
          <w:p>
            <w:pPr>
              <w:pStyle w:val="TableText"/>
              <w:keepNext w:val="0"/>
            </w:pPr>
            <w:r>
              <w:t>q9vSo1VnCiC</w:t>
            </w:r>
          </w:p>
        </w:tc>
        <w:tc>
          <w:tcPr>
            <w:tcW w:type="dxa" w:w="2200"/>
          </w:tcPr>
          <w:p>
            <w:pPr>
              <w:pStyle w:val="TableText"/>
              <w:keepNext w:val="0"/>
            </w:pPr>
            <w:r>
              <w:t>3→2</w:t>
            </w:r>
          </w:p>
        </w:tc>
        <w:tc>
          <w:tcPr>
            <w:tcW w:type="dxa" w:w="2200"/>
          </w:tcPr>
          <w:p>
            <w:pPr>
              <w:pStyle w:val="TableText"/>
              <w:keepNext w:val="0"/>
            </w:pPr>
            <w:r>
              <w:t>3→2</w:t>
            </w:r>
          </w:p>
        </w:tc>
        <w:tc>
          <w:tcPr>
            <w:tcW w:type="dxa" w:w="2260"/>
          </w:tcPr>
          <w:p>
            <w:pPr>
              <w:pStyle w:val="TableText"/>
              <w:keepNext w:val="0"/>
            </w:pPr>
            <w:r>
              <w:t>8 / 8</w:t>
            </w:r>
          </w:p>
        </w:tc>
      </w:tr>
      <w:tr>
        <w:trPr>
          <w:cantSplit/>
        </w:trPr>
        <w:tc>
          <w:tcPr>
            <w:tcW w:type="dxa" w:w="2700"/>
          </w:tcPr>
          <w:p>
            <w:pPr>
              <w:pStyle w:val="TableText"/>
              <w:keepNext w:val="0"/>
            </w:pPr>
            <w:r>
              <w:t>rPc6DW4iMge</w:t>
            </w:r>
          </w:p>
        </w:tc>
        <w:tc>
          <w:tcPr>
            <w:tcW w:type="dxa" w:w="2200"/>
          </w:tcPr>
          <w:p>
            <w:pPr>
              <w:pStyle w:val="TableText"/>
              <w:keepNext w:val="0"/>
            </w:pPr>
            <w:r>
              <w:t>3→3</w:t>
            </w:r>
          </w:p>
        </w:tc>
        <w:tc>
          <w:tcPr>
            <w:tcW w:type="dxa" w:w="2200"/>
          </w:tcPr>
          <w:p>
            <w:pPr>
              <w:pStyle w:val="TableText"/>
              <w:keepNext w:val="0"/>
            </w:pPr>
            <w:r>
              <w:t>4→2</w:t>
            </w:r>
          </w:p>
        </w:tc>
        <w:tc>
          <w:tcPr>
            <w:tcW w:type="dxa" w:w="2260"/>
          </w:tcPr>
          <w:p>
            <w:pPr>
              <w:pStyle w:val="TableText"/>
              <w:keepNext w:val="0"/>
            </w:pPr>
            <w:r>
              <w:t>8 / 8</w:t>
            </w:r>
          </w:p>
        </w:tc>
      </w:tr>
      <w:tr>
        <w:trPr>
          <w:cantSplit/>
        </w:trPr>
        <w:tc>
          <w:tcPr>
            <w:tcW w:type="dxa" w:w="2700"/>
          </w:tcPr>
          <w:p>
            <w:pPr>
              <w:pStyle w:val="TableText"/>
              <w:keepNext w:val="0"/>
            </w:pPr>
            <w:r>
              <w:t>uNb9QFRL6hY</w:t>
            </w:r>
          </w:p>
        </w:tc>
        <w:tc>
          <w:tcPr>
            <w:tcW w:type="dxa" w:w="2200"/>
          </w:tcPr>
          <w:p>
            <w:pPr>
              <w:pStyle w:val="TableText"/>
              <w:keepNext w:val="0"/>
            </w:pPr>
            <w:r>
              <w:t>6→6</w:t>
            </w:r>
          </w:p>
        </w:tc>
        <w:tc>
          <w:tcPr>
            <w:tcW w:type="dxa" w:w="2200"/>
          </w:tcPr>
          <w:p>
            <w:pPr>
              <w:pStyle w:val="TableText"/>
              <w:keepNext w:val="0"/>
            </w:pPr>
            <w:r>
              <w:t>7→5</w:t>
            </w:r>
          </w:p>
        </w:tc>
        <w:tc>
          <w:tcPr>
            <w:tcW w:type="dxa" w:w="2260"/>
          </w:tcPr>
          <w:p>
            <w:pPr>
              <w:pStyle w:val="TableText"/>
              <w:keepNext w:val="0"/>
            </w:pPr>
            <w:r>
              <w:t>156 / 200</w:t>
            </w:r>
          </w:p>
        </w:tc>
      </w:tr>
      <w:tr>
        <w:trPr>
          <w:cantSplit/>
        </w:trPr>
        <w:tc>
          <w:tcPr>
            <w:tcW w:type="dxa" w:w="2700"/>
          </w:tcPr>
          <w:p>
            <w:pPr>
              <w:pStyle w:val="TableText"/>
              <w:keepNext w:val="0"/>
            </w:pPr>
            <w:r>
              <w:t>wc2JMjhGNzB</w:t>
            </w:r>
          </w:p>
        </w:tc>
        <w:tc>
          <w:tcPr>
            <w:tcW w:type="dxa" w:w="2200"/>
          </w:tcPr>
          <w:p>
            <w:pPr>
              <w:pStyle w:val="TableText"/>
              <w:keepNext w:val="0"/>
            </w:pPr>
            <w:r>
              <w:t>2→2</w:t>
            </w:r>
          </w:p>
        </w:tc>
        <w:tc>
          <w:tcPr>
            <w:tcW w:type="dxa" w:w="2200"/>
          </w:tcPr>
          <w:p>
            <w:pPr>
              <w:pStyle w:val="TableText"/>
              <w:keepNext w:val="0"/>
            </w:pPr>
            <w:r>
              <w:t>2→2</w:t>
            </w:r>
          </w:p>
        </w:tc>
        <w:tc>
          <w:tcPr>
            <w:tcW w:type="dxa" w:w="2260"/>
          </w:tcPr>
          <w:p>
            <w:pPr>
              <w:pStyle w:val="TableText"/>
              <w:keepNext w:val="0"/>
            </w:pPr>
            <w:r>
              <w:t>2 / 2</w:t>
            </w:r>
          </w:p>
        </w:tc>
      </w:tr>
      <w:tr>
        <w:trPr>
          <w:cantSplit/>
        </w:trPr>
        <w:tc>
          <w:tcPr>
            <w:tcW w:type="dxa" w:w="2700"/>
          </w:tcPr>
          <w:p>
            <w:pPr>
              <w:pStyle w:val="TableText"/>
              <w:keepNext w:val="0"/>
            </w:pPr>
            <w:r>
              <w:t>yqstnuAEVhm</w:t>
            </w:r>
          </w:p>
        </w:tc>
        <w:tc>
          <w:tcPr>
            <w:tcW w:type="dxa" w:w="2200"/>
          </w:tcPr>
          <w:p>
            <w:pPr>
              <w:pStyle w:val="TableText"/>
              <w:keepNext w:val="0"/>
            </w:pPr>
            <w:r>
              <w:t>4→3</w:t>
            </w:r>
          </w:p>
        </w:tc>
        <w:tc>
          <w:tcPr>
            <w:tcW w:type="dxa" w:w="2200"/>
          </w:tcPr>
          <w:p>
            <w:pPr>
              <w:pStyle w:val="TableText"/>
              <w:keepNext w:val="0"/>
            </w:pPr>
            <w:r>
              <w:t>4→3</w:t>
            </w:r>
          </w:p>
        </w:tc>
        <w:tc>
          <w:tcPr>
            <w:tcW w:type="dxa" w:w="2260"/>
          </w:tcPr>
          <w:p>
            <w:pPr>
              <w:pStyle w:val="TableText"/>
              <w:keepNext w:val="0"/>
            </w:pPr>
            <w:r>
              <w:t>20 / 20</w:t>
            </w:r>
          </w:p>
        </w:tc>
      </w:tr>
    </w:tbl>
    <w:p>
      <w:r>
        <w:t>6楼40图可在每折留出至少2个目标；4个小楼的10图退化为每折1个目标，已显式列出。不能声称全部50图都具有多目标留图。两个人员口径复用同一划分。</w:t>
      </w:r>
    </w:p>
    <w:p>
      <w:r>
        <w:t>每个留出目标同时比较：同楼历史平均曲线；楼外所有合格历史的平均曲线；按固定图像特征选至多3个近邻并以距离倒数加权；同楼均值与楼外近邻各占一半的预设组合。楼外预测排除目标building的所有人类结果。</w:t>
      </w:r>
    </w:p>
    <w:p>
      <w:r>
        <w:t>楼外平均使用更大的候选历史池，是跨楼全池均值基线；它不是与楼内源张数相同的单次随机样本。近邻预测最多取3张。源张数、候选池覆盖及其差异不归因于building本身。</w:t>
      </w:r>
    </w:p>
    <w:p>
      <w:r>
        <w:t>主指标在k=2至H−5计算曲线误差边界，先平均同一目标的重复划分，再按building等权。条件人数误差仅对目标可识别、来源具有可识别起点的可预测部分计算；必须同时报告图数。616884条预测记录不等于616884次独立实验。</w:t>
      </w:r>
    </w:p>
    <w:p>
      <w:pPr>
        <w:pStyle w:val="Heading1"/>
        <w:pageBreakBefore/>
      </w:pPr>
      <w:r>
        <w:t>预测结果：图像风险和特征层对照</w:t>
      </w:r>
    </w:p>
    <w:p>
      <w:r>
        <w:t>下图为10楼50图、H=20、q=.95、约60%历史源的平衡划分结果。线段是平均绝对误差的可行范围，越靠左误差越小；它不是置信区间。</w:t>
      </w:r>
    </w:p>
    <w:p>
      <w:pPr>
        <w:keepNext/>
        <w:spacing w:after="0"/>
      </w:pPr>
      <w:r>
        <w:drawing>
          <wp:inline xmlns:a="http://schemas.openxmlformats.org/drawingml/2006/main" xmlns:pic="http://schemas.openxmlformats.org/drawingml/2006/picture">
            <wp:extent cx="5852160" cy="2396599"/>
            <wp:docPr id="4" name="Picture 4"/>
            <wp:cNvGraphicFramePr>
              <a:graphicFrameLocks noChangeAspect="1"/>
            </wp:cNvGraphicFramePr>
            <a:graphic>
              <a:graphicData uri="http://schemas.openxmlformats.org/drawingml/2006/picture">
                <pic:pic>
                  <pic:nvPicPr>
                    <pic:cNvPr id="0" name="prediction_bounds.png"/>
                    <pic:cNvPicPr/>
                  </pic:nvPicPr>
                  <pic:blipFill>
                    <a:blip r:embed="rId14"/>
                    <a:stretch>
                      <a:fillRect/>
                    </a:stretch>
                  </pic:blipFill>
                  <pic:spPr>
                    <a:xfrm>
                      <a:off x="0" y="0"/>
                      <a:ext cx="5852160" cy="2396599"/>
                    </a:xfrm>
                    <a:prstGeom prst="rect"/>
                  </pic:spPr>
                </pic:pic>
              </a:graphicData>
            </a:graphic>
          </wp:inline>
        </w:drawing>
      </w:r>
    </w:p>
    <w:p>
      <w:pPr>
        <w:pStyle w:val="Caption"/>
      </w:pPr>
      <w:r>
        <w:t>图4 全部50个目标均计入曲线评价；未知状态不会因为误差下界为零被视作准确预测。</w:t>
      </w:r>
    </w:p>
    <w:p>
      <w:r>
        <w:t>同楼均值的误差范围为[0.220, 0.560] / [0.254, 0.574]；楼外风险近邻为[0.111, 0.390] / [0.156, 0.404]。q主分析中，楼外风险近邻相对同楼均值的配对改善范围仍跨零：[-0.108, 0.392] / [-0.096, 0.362]。</w:t>
      </w:r>
    </w:p>
    <w:p>
      <w:r>
        <w:t>OSPA对照中，相同风险预测的楼等权平均改善范围为[0.005, 0.357] / [0.012, 0.363]，在固定历史数据及未知边界下方向为正。对10栋楼贡献重抽样后仍需考虑楼际变动；该范围不是跨新楼或新人的泛化置信保证。</w:t>
      </w:r>
    </w:p>
    <w:p>
      <w:r>
        <w:t>同楼均值的条件人数MAE为1.002 / 2.027人，分别只覆盖3楼8图和4楼11图；有计数评分的目标出现为351/1130与430/1130。各模型可预测图与划分不同，未据此单独排名。</w:t>
      </w:r>
    </w:p>
    <w:p>
      <w:pPr>
        <w:pStyle w:val="Heading1"/>
        <w:pageBreakBefore/>
      </w:pPr>
      <w:r>
        <w:t>HoHoNet特征与低人数图的纳入</w:t>
      </w:r>
    </w:p>
    <w:p>
      <w:r>
        <w:t>214图已在统一CPU环境、ep300布局模型和同一输入选取规则下重新提取特征。各层来自同一次前向计算；模型没有使用本次人类稳定标签训练。d_model_feat是共享特征到冻结参考空间的近邻距离，不是已经标定的人类难度或失败概率。</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特征位置</w:t>
            </w:r>
          </w:p>
        </w:tc>
        <w:tc>
          <w:tcPr>
            <w:tcW w:type="dxa" w:w="2650"/>
            <w:shd w:fill="F2F4F7"/>
          </w:tcPr>
          <w:p>
            <w:pPr>
              <w:pStyle w:val="TableHeader"/>
              <w:keepNext/>
            </w:pPr>
            <w:r>
              <w:t>维数</w:t>
            </w:r>
          </w:p>
        </w:tc>
        <w:tc>
          <w:tcPr>
            <w:tcW w:type="dxa" w:w="4360"/>
            <w:shd w:fill="F2F4F7"/>
          </w:tcPr>
          <w:p>
            <w:pPr>
              <w:pStyle w:val="TableHeader"/>
              <w:keepNext/>
            </w:pPr>
            <w:r>
              <w:t>汇聚方式</w:t>
            </w:r>
          </w:p>
        </w:tc>
      </w:tr>
      <w:tr>
        <w:trPr>
          <w:cantSplit/>
        </w:trPr>
        <w:tc>
          <w:tcPr>
            <w:tcW w:type="dxa" w:w="2350"/>
          </w:tcPr>
          <w:p>
            <w:pPr>
              <w:pStyle w:val="TableText"/>
              <w:keepNext w:val="0"/>
            </w:pPr>
            <w:r>
              <w:t>编码器第2阶段</w:t>
            </w:r>
          </w:p>
        </w:tc>
        <w:tc>
          <w:tcPr>
            <w:tcW w:type="dxa" w:w="2650"/>
          </w:tcPr>
          <w:p>
            <w:pPr>
              <w:pStyle w:val="TableText"/>
              <w:keepNext w:val="0"/>
            </w:pPr>
            <w:r>
              <w:t>256</w:t>
            </w:r>
          </w:p>
        </w:tc>
        <w:tc>
          <w:tcPr>
            <w:tcW w:type="dxa" w:w="4360"/>
          </w:tcPr>
          <w:p>
            <w:pPr>
              <w:pStyle w:val="TableText"/>
              <w:keepNext w:val="0"/>
            </w:pPr>
            <w:r>
              <w:t>空间均值与标准差；四相位平均</w:t>
            </w:r>
          </w:p>
        </w:tc>
      </w:tr>
      <w:tr>
        <w:trPr>
          <w:cantSplit/>
        </w:trPr>
        <w:tc>
          <w:tcPr>
            <w:tcW w:type="dxa" w:w="2350"/>
          </w:tcPr>
          <w:p>
            <w:pPr>
              <w:pStyle w:val="TableText"/>
              <w:keepNext w:val="0"/>
            </w:pPr>
            <w:r>
              <w:t>编码器第4阶段</w:t>
            </w:r>
          </w:p>
        </w:tc>
        <w:tc>
          <w:tcPr>
            <w:tcW w:type="dxa" w:w="2650"/>
          </w:tcPr>
          <w:p>
            <w:pPr>
              <w:pStyle w:val="TableText"/>
              <w:keepNext w:val="0"/>
            </w:pPr>
            <w:r>
              <w:t>1024</w:t>
            </w:r>
          </w:p>
        </w:tc>
        <w:tc>
          <w:tcPr>
            <w:tcW w:type="dxa" w:w="4360"/>
          </w:tcPr>
          <w:p>
            <w:pPr>
              <w:pStyle w:val="TableText"/>
              <w:keepNext w:val="0"/>
            </w:pPr>
            <w:r>
              <w:t>空间均值与标准差；四相位平均</w:t>
            </w:r>
          </w:p>
        </w:tc>
      </w:tr>
      <w:tr>
        <w:trPr>
          <w:cantSplit/>
        </w:trPr>
        <w:tc>
          <w:tcPr>
            <w:tcW w:type="dxa" w:w="2350"/>
          </w:tcPr>
          <w:p>
            <w:pPr>
              <w:pStyle w:val="TableText"/>
              <w:keepNext w:val="0"/>
            </w:pPr>
            <w:r>
              <w:t>水平压缩后</w:t>
            </w:r>
          </w:p>
        </w:tc>
        <w:tc>
          <w:tcPr>
            <w:tcW w:type="dxa" w:w="2650"/>
          </w:tcPr>
          <w:p>
            <w:pPr>
              <w:pStyle w:val="TableText"/>
              <w:keepNext w:val="0"/>
            </w:pPr>
            <w:r>
              <w:t>2048</w:t>
            </w:r>
          </w:p>
        </w:tc>
        <w:tc>
          <w:tcPr>
            <w:tcW w:type="dxa" w:w="4360"/>
          </w:tcPr>
          <w:p>
            <w:pPr>
              <w:pStyle w:val="TableText"/>
              <w:keepNext w:val="0"/>
            </w:pPr>
            <w:r>
              <w:t>空间均值与标准差；四相位平均</w:t>
            </w:r>
          </w:p>
        </w:tc>
      </w:tr>
      <w:tr>
        <w:trPr>
          <w:cantSplit/>
        </w:trPr>
        <w:tc>
          <w:tcPr>
            <w:tcW w:type="dxa" w:w="2350"/>
          </w:tcPr>
          <w:p>
            <w:pPr>
              <w:pStyle w:val="TableText"/>
              <w:keepNext w:val="0"/>
            </w:pPr>
            <w:r>
              <w:t>水平精炼后</w:t>
            </w:r>
          </w:p>
        </w:tc>
        <w:tc>
          <w:tcPr>
            <w:tcW w:type="dxa" w:w="2650"/>
          </w:tcPr>
          <w:p>
            <w:pPr>
              <w:pStyle w:val="TableText"/>
              <w:keepNext w:val="0"/>
            </w:pPr>
            <w:r>
              <w:t>2048</w:t>
            </w:r>
          </w:p>
        </w:tc>
        <w:tc>
          <w:tcPr>
            <w:tcW w:type="dxa" w:w="4360"/>
          </w:tcPr>
          <w:p>
            <w:pPr>
              <w:pStyle w:val="TableText"/>
              <w:keepNext w:val="0"/>
            </w:pPr>
            <w:r>
              <w:t>空间均值与标准差；四相位平均</w:t>
            </w:r>
          </w:p>
        </w:tc>
      </w:tr>
      <w:tr>
        <w:trPr>
          <w:cantSplit/>
        </w:trPr>
        <w:tc>
          <w:tcPr>
            <w:tcW w:type="dxa" w:w="2350"/>
          </w:tcPr>
          <w:p>
            <w:pPr>
              <w:pStyle w:val="TableText"/>
              <w:keepNext w:val="0"/>
            </w:pPr>
            <w:r>
              <w:t>共享潜在特征</w:t>
            </w:r>
          </w:p>
        </w:tc>
        <w:tc>
          <w:tcPr>
            <w:tcW w:type="dxa" w:w="2650"/>
          </w:tcPr>
          <w:p>
            <w:pPr>
              <w:pStyle w:val="TableText"/>
              <w:keepNext w:val="0"/>
            </w:pPr>
            <w:r>
              <w:t>512</w:t>
            </w:r>
          </w:p>
        </w:tc>
        <w:tc>
          <w:tcPr>
            <w:tcW w:type="dxa" w:w="4360"/>
          </w:tcPr>
          <w:p>
            <w:pPr>
              <w:pStyle w:val="TableText"/>
              <w:keepNext w:val="0"/>
            </w:pPr>
            <w:r>
              <w:t>空间均值与标准差；四相位平均</w:t>
            </w:r>
          </w:p>
        </w:tc>
      </w:tr>
      <w:tr>
        <w:trPr>
          <w:cantSplit/>
        </w:trPr>
        <w:tc>
          <w:tcPr>
            <w:tcW w:type="dxa" w:w="2350"/>
          </w:tcPr>
          <w:p>
            <w:pPr>
              <w:pStyle w:val="TableText"/>
              <w:keepNext w:val="0"/>
            </w:pPr>
            <w:r>
              <w:t>旧均值汇聚形式（单相位）</w:t>
            </w:r>
          </w:p>
        </w:tc>
        <w:tc>
          <w:tcPr>
            <w:tcW w:type="dxa" w:w="2650"/>
          </w:tcPr>
          <w:p>
            <w:pPr>
              <w:pStyle w:val="TableText"/>
              <w:keepNext w:val="0"/>
            </w:pPr>
            <w:r>
              <w:t>256</w:t>
            </w:r>
          </w:p>
        </w:tc>
        <w:tc>
          <w:tcPr>
            <w:tcW w:type="dxa" w:w="4360"/>
          </w:tcPr>
          <w:p>
            <w:pPr>
              <w:pStyle w:val="TableText"/>
              <w:keepNext w:val="0"/>
            </w:pPr>
            <w:r>
              <w:t>单相位均值＋L2</w:t>
            </w:r>
          </w:p>
        </w:tc>
      </w:tr>
    </w:tbl>
    <w:p>
      <w:r>
        <w:t>主比较覆盖编码器中间/末端、水平压缩、水平精炼及共享特征。没有一种原始层向量在全部距离配置、人员口径和评价覆盖下均优于风险距离。压缩/精炼层的部分误差边界低于共享层，层选择仍属探索。</w:t>
      </w:r>
    </w:p>
    <w:p>
      <w:r>
        <w:t>旧d_t为归一化单相位共享均值到Calibration_manual池的第10近邻距离；新分数用四相位均值/标准差及固定训练白化空间。旧汇总risk仅70图有值、高人数仅4图，且不能直接确认为d_t。本轮比较旧均值向量形式，未完成两版分数的等覆盖验证。</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混合图集的组成</w:t>
            </w:r>
          </w:p>
        </w:tc>
        <w:tc>
          <w:tcPr>
            <w:tcW w:type="dxa" w:w="2650"/>
            <w:shd w:fill="F2F4F7"/>
          </w:tcPr>
          <w:p>
            <w:pPr>
              <w:pStyle w:val="TableHeader"/>
              <w:keepNext/>
            </w:pPr>
            <w:r>
              <w:t>数量</w:t>
            </w:r>
          </w:p>
        </w:tc>
        <w:tc>
          <w:tcPr>
            <w:tcW w:type="dxa" w:w="4360"/>
            <w:shd w:fill="F2F4F7"/>
          </w:tcPr>
          <w:p>
            <w:pPr>
              <w:pStyle w:val="TableHeader"/>
              <w:keepNext/>
            </w:pPr>
            <w:r>
              <w:t>长期目标状态</w:t>
            </w:r>
          </w:p>
        </w:tc>
      </w:tr>
      <w:tr>
        <w:trPr>
          <w:cantSplit/>
        </w:trPr>
        <w:tc>
          <w:tcPr>
            <w:tcW w:type="dxa" w:w="2350"/>
          </w:tcPr>
          <w:p>
            <w:pPr>
              <w:pStyle w:val="TableText"/>
              <w:keepNext w:val="0"/>
            </w:pPr>
            <w:r>
              <w:t>高人数留图</w:t>
            </w:r>
          </w:p>
        </w:tc>
        <w:tc>
          <w:tcPr>
            <w:tcW w:type="dxa" w:w="2650"/>
          </w:tcPr>
          <w:p>
            <w:pPr>
              <w:pStyle w:val="TableText"/>
              <w:keepNext w:val="0"/>
            </w:pPr>
            <w:r>
              <w:t>50图 / 10楼</w:t>
            </w:r>
          </w:p>
        </w:tc>
        <w:tc>
          <w:tcPr>
            <w:tcW w:type="dxa" w:w="4360"/>
          </w:tcPr>
          <w:p>
            <w:pPr>
              <w:pStyle w:val="TableText"/>
              <w:keepNext w:val="0"/>
            </w:pPr>
            <w:r>
              <w:t>可以历史评价</w:t>
            </w:r>
          </w:p>
        </w:tc>
      </w:tr>
      <w:tr>
        <w:trPr>
          <w:cantSplit/>
        </w:trPr>
        <w:tc>
          <w:tcPr>
            <w:tcW w:type="dxa" w:w="2350"/>
          </w:tcPr>
          <w:p>
            <w:pPr>
              <w:pStyle w:val="TableText"/>
              <w:keepNext w:val="0"/>
            </w:pPr>
            <w:r>
              <w:t>N=3–7</w:t>
            </w:r>
          </w:p>
        </w:tc>
        <w:tc>
          <w:tcPr>
            <w:tcW w:type="dxa" w:w="2650"/>
          </w:tcPr>
          <w:p>
            <w:pPr>
              <w:pStyle w:val="TableText"/>
              <w:keepNext w:val="0"/>
            </w:pPr>
            <w:r>
              <w:t>98图 / 21楼</w:t>
            </w:r>
          </w:p>
        </w:tc>
        <w:tc>
          <w:tcPr>
            <w:tcW w:type="dxa" w:w="4360"/>
          </w:tcPr>
          <w:p>
            <w:pPr>
              <w:pStyle w:val="TableText"/>
              <w:keepNext w:val="0"/>
            </w:pPr>
            <w:r>
              <w:t>已预测H=20曲线，等待补采验证</w:t>
            </w:r>
          </w:p>
        </w:tc>
      </w:tr>
      <w:tr>
        <w:trPr>
          <w:cantSplit/>
        </w:trPr>
        <w:tc>
          <w:tcPr>
            <w:tcW w:type="dxa" w:w="2350"/>
          </w:tcPr>
          <w:p>
            <w:pPr>
              <w:pStyle w:val="TableText"/>
              <w:keepNext w:val="0"/>
            </w:pPr>
            <w:r>
              <w:t>其中有同楼高人数源</w:t>
            </w:r>
          </w:p>
        </w:tc>
        <w:tc>
          <w:tcPr>
            <w:tcW w:type="dxa" w:w="2650"/>
          </w:tcPr>
          <w:p>
            <w:pPr>
              <w:pStyle w:val="TableText"/>
              <w:keepNext w:val="0"/>
            </w:pPr>
            <w:r>
              <w:t>78图</w:t>
            </w:r>
          </w:p>
        </w:tc>
        <w:tc>
          <w:tcPr>
            <w:tcW w:type="dxa" w:w="4360"/>
          </w:tcPr>
          <w:p>
            <w:pPr>
              <w:pStyle w:val="TableText"/>
              <w:keepNext w:val="0"/>
            </w:pPr>
            <w:r>
              <w:t>同楼及楼外预测并列</w:t>
            </w:r>
          </w:p>
        </w:tc>
      </w:tr>
      <w:tr>
        <w:trPr>
          <w:cantSplit/>
        </w:trPr>
        <w:tc>
          <w:tcPr>
            <w:tcW w:type="dxa" w:w="2350"/>
          </w:tcPr>
          <w:p>
            <w:pPr>
              <w:pStyle w:val="TableText"/>
              <w:keepNext w:val="0"/>
            </w:pPr>
            <w:r>
              <w:t>其中无同楼高人数源</w:t>
            </w:r>
          </w:p>
        </w:tc>
        <w:tc>
          <w:tcPr>
            <w:tcW w:type="dxa" w:w="2650"/>
          </w:tcPr>
          <w:p>
            <w:pPr>
              <w:pStyle w:val="TableText"/>
              <w:keepNext w:val="0"/>
            </w:pPr>
            <w:r>
              <w:t>20图</w:t>
            </w:r>
          </w:p>
        </w:tc>
        <w:tc>
          <w:tcPr>
            <w:tcW w:type="dxa" w:w="4360"/>
          </w:tcPr>
          <w:p>
            <w:pPr>
              <w:pStyle w:val="TableText"/>
              <w:keepNext w:val="0"/>
            </w:pPr>
            <w:r>
              <w:t>楼外预测单列</w:t>
            </w:r>
          </w:p>
        </w:tc>
      </w:tr>
      <w:tr>
        <w:trPr>
          <w:cantSplit/>
        </w:trPr>
        <w:tc>
          <w:tcPr>
            <w:tcW w:type="dxa" w:w="2350"/>
          </w:tcPr>
          <w:p>
            <w:pPr>
              <w:pStyle w:val="TableText"/>
              <w:keepNext w:val="0"/>
            </w:pPr>
            <w:r>
              <w:t>N≤2</w:t>
            </w:r>
          </w:p>
        </w:tc>
        <w:tc>
          <w:tcPr>
            <w:tcW w:type="dxa" w:w="2650"/>
          </w:tcPr>
          <w:p>
            <w:pPr>
              <w:pStyle w:val="TableText"/>
              <w:keepNext w:val="0"/>
            </w:pPr>
            <w:r>
              <w:t>61图</w:t>
            </w:r>
          </w:p>
        </w:tc>
        <w:tc>
          <w:tcPr>
            <w:tcW w:type="dxa" w:w="4360"/>
          </w:tcPr>
          <w:p>
            <w:pPr>
              <w:pStyle w:val="TableText"/>
              <w:keepNext w:val="0"/>
            </w:pPr>
            <w:r>
              <w:t>保留库存，不判长期稳定</w:t>
            </w:r>
          </w:p>
        </w:tc>
      </w:tr>
    </w:tbl>
    <w:p>
      <w:r>
        <w:t>低人数图的前瞻预测保留在逐图表中，不能与高人数图合并成一个长期准确率。此前uNb的N=5短窗实验只验证短窗状态，不检验8人后至20余人的持续阶段。</w:t>
      </w:r>
    </w:p>
    <w:p>
      <w:pPr>
        <w:pStyle w:val="Heading1"/>
        <w:pageBreakBefore/>
      </w:pPr>
      <w:r>
        <w:t>人员差异：连续得分与离散类别</w:t>
      </w:r>
    </w:p>
    <w:p>
      <w:r>
        <w:t>无辅助可计算响应1887条中，1484条、167图具备本轮可用参考；403条参考未定，只进入分歧分析。已确认人工参考优先，其他可评价图暂按GT；偏离参考不自动等于粗心或错误范围选择。</w:t>
      </w:r>
    </w:p>
    <w:p>
      <w:pPr>
        <w:keepNext/>
        <w:spacing w:after="0"/>
      </w:pPr>
      <w:r>
        <w:drawing>
          <wp:inline xmlns:a="http://schemas.openxmlformats.org/drawingml/2006/main" xmlns:pic="http://schemas.openxmlformats.org/drawingml/2006/picture">
            <wp:extent cx="5852160" cy="2145792"/>
            <wp:docPr id="5" name="Picture 5"/>
            <wp:cNvGraphicFramePr>
              <a:graphicFrameLocks noChangeAspect="1"/>
            </wp:cNvGraphicFramePr>
            <a:graphic>
              <a:graphicData uri="http://schemas.openxmlformats.org/drawingml/2006/picture">
                <pic:pic>
                  <pic:nvPicPr>
                    <pic:cNvPr id="0" name="worker_validation.png"/>
                    <pic:cNvPicPr/>
                  </pic:nvPicPr>
                  <pic:blipFill>
                    <a:blip r:embed="rId15"/>
                    <a:stretch>
                      <a:fillRect/>
                    </a:stretch>
                  </pic:blipFill>
                  <pic:spPr>
                    <a:xfrm>
                      <a:off x="0" y="0"/>
                      <a:ext cx="5852160" cy="2145792"/>
                    </a:xfrm>
                    <a:prstGeom prst="rect"/>
                  </pic:spPr>
                </pic:pic>
              </a:graphicData>
            </a:graphic>
          </wp:inline>
        </w:drawing>
      </w:r>
    </w:p>
    <w:p>
      <w:pPr>
        <w:pStyle w:val="Caption"/>
      </w:pPr>
      <w:r>
        <w:t>图5 人员效应的整楼留出预测和互斥building分半复现；OSPA30/60并列。</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700"/>
        <w:gridCol w:w="2200"/>
        <w:gridCol w:w="2200"/>
        <w:gridCol w:w="2260"/>
      </w:tblGrid>
      <w:tr>
        <w:trPr>
          <w:cantSplit/>
          <w:tblHeader/>
        </w:trPr>
        <w:tc>
          <w:tcPr>
            <w:tcW w:type="dxa" w:w="2700"/>
            <w:shd w:fill="F2F4F7"/>
          </w:tcPr>
          <w:p>
            <w:pPr>
              <w:pStyle w:val="TableHeader"/>
              <w:keepNext/>
            </w:pPr>
            <w:r>
              <w:t>当前20人</w:t>
            </w:r>
          </w:p>
        </w:tc>
        <w:tc>
          <w:tcPr>
            <w:tcW w:type="dxa" w:w="2200"/>
            <w:shd w:fill="F2F4F7"/>
          </w:tcPr>
          <w:p>
            <w:pPr>
              <w:pStyle w:val="TableHeader"/>
              <w:keepNext/>
            </w:pPr>
            <w:r>
              <w:t>连续人员效应</w:t>
            </w:r>
          </w:p>
        </w:tc>
        <w:tc>
          <w:tcPr>
            <w:tcW w:type="dxa" w:w="2200"/>
            <w:shd w:fill="F2F4F7"/>
          </w:tcPr>
          <w:p>
            <w:pPr>
              <w:pStyle w:val="TableHeader"/>
              <w:keepNext/>
            </w:pPr>
            <w:r>
              <w:t>中位数2档</w:t>
            </w:r>
          </w:p>
        </w:tc>
        <w:tc>
          <w:tcPr>
            <w:tcW w:type="dxa" w:w="2260"/>
            <w:shd w:fill="F2F4F7"/>
          </w:tcPr>
          <w:p>
            <w:pPr>
              <w:pStyle w:val="TableHeader"/>
              <w:keepNext/>
            </w:pPr>
            <w:r>
              <w:t>Ward3档</w:t>
            </w:r>
          </w:p>
        </w:tc>
      </w:tr>
      <w:tr>
        <w:trPr>
          <w:cantSplit/>
        </w:trPr>
        <w:tc>
          <w:tcPr>
            <w:tcW w:type="dxa" w:w="2700"/>
          </w:tcPr>
          <w:p>
            <w:pPr>
              <w:pStyle w:val="TableText"/>
              <w:keepNext w:val="0"/>
            </w:pPr>
            <w:r>
              <w:t>楼等权MSE改善（30 / 60）</w:t>
            </w:r>
          </w:p>
        </w:tc>
        <w:tc>
          <w:tcPr>
            <w:tcW w:type="dxa" w:w="2200"/>
          </w:tcPr>
          <w:p>
            <w:pPr>
              <w:pStyle w:val="TableText"/>
              <w:keepNext w:val="0"/>
            </w:pPr>
            <w:r>
              <w:t>3.38% / 0.067%</w:t>
            </w:r>
          </w:p>
        </w:tc>
        <w:tc>
          <w:tcPr>
            <w:tcW w:type="dxa" w:w="2200"/>
          </w:tcPr>
          <w:p>
            <w:pPr>
              <w:pStyle w:val="TableText"/>
              <w:keepNext w:val="0"/>
            </w:pPr>
            <w:r>
              <w:t>0.42% / −0.76%</w:t>
            </w:r>
          </w:p>
        </w:tc>
        <w:tc>
          <w:tcPr>
            <w:tcW w:type="dxa" w:w="2260"/>
          </w:tcPr>
          <w:p>
            <w:pPr>
              <w:pStyle w:val="TableText"/>
              <w:keepNext w:val="0"/>
            </w:pPr>
            <w:r>
              <w:t>1.51% / −1.28%</w:t>
            </w:r>
          </w:p>
        </w:tc>
      </w:tr>
      <w:tr>
        <w:trPr>
          <w:cantSplit/>
        </w:trPr>
        <w:tc>
          <w:tcPr>
            <w:tcW w:type="dxa" w:w="2700"/>
          </w:tcPr>
          <w:p>
            <w:pPr>
              <w:pStyle w:val="TableText"/>
              <w:keepNext w:val="0"/>
            </w:pPr>
            <w:r>
              <w:t>互斥分半复现中位数</w:t>
            </w:r>
          </w:p>
        </w:tc>
        <w:tc>
          <w:tcPr>
            <w:tcW w:type="dxa" w:w="2200"/>
          </w:tcPr>
          <w:p>
            <w:pPr>
              <w:pStyle w:val="TableText"/>
              <w:keepNext w:val="0"/>
            </w:pPr>
            <w:r>
              <w:t>排序相关0.598 / 0.642</w:t>
            </w:r>
          </w:p>
        </w:tc>
        <w:tc>
          <w:tcPr>
            <w:tcW w:type="dxa" w:w="2200"/>
          </w:tcPr>
          <w:p>
            <w:pPr>
              <w:pStyle w:val="TableText"/>
              <w:keepNext w:val="0"/>
            </w:pPr>
            <w:r>
              <w:t>ARI 0.113 / 0.113</w:t>
            </w:r>
          </w:p>
        </w:tc>
        <w:tc>
          <w:tcPr>
            <w:tcW w:type="dxa" w:w="2260"/>
          </w:tcPr>
          <w:p>
            <w:pPr>
              <w:pStyle w:val="TableText"/>
              <w:keepNext w:val="0"/>
            </w:pPr>
            <w:r>
              <w:t>ARI 0.104 / 0.091</w:t>
            </w:r>
          </w:p>
        </w:tc>
      </w:tr>
    </w:tbl>
    <w:p>
      <w:r>
        <w:t>人员得分由图像效应调整后的参考偏差得到；每个目标building的人员档位均在其他building重新拟合。A表示训练参考偏差较低，B较高；三档时C最高。全量人员名单只作解释，不用于留楼验证标签。</w:t>
      </w:r>
    </w:p>
    <w:p>
      <w:r>
        <w:t>连续排序有一定复现，固定两档或三档的成员复现较弱。指定切成几档不是天然存在几类人群的证据。删一楼和互斥分半得到的稳定度不同，不能用高度重叠训练集的一致率替代独立复现。</w:t>
      </w:r>
    </w:p>
    <w:p>
      <w:pPr>
        <w:pStyle w:val="Heading1"/>
        <w:pageBreakBefore/>
      </w:pPr>
      <w:r>
        <w:t>按人采集后的真实人员组合</w:t>
      </w:r>
    </w:p>
    <w:p>
      <w:r>
        <w:t>每位人员对同一图的一份canonical作答可在后处理中进入不同配比；同一人不能复制为两个人。AABC必须有两位不同A及各一位B、C的真实独立作答。组合不包含相互讨论或看到他人结果后的修改效应。</w:t>
      </w:r>
    </w:p>
    <w:p>
      <w:pPr>
        <w:keepNext/>
        <w:spacing w:after="0"/>
      </w:pPr>
      <w:r>
        <w:drawing>
          <wp:inline xmlns:a="http://schemas.openxmlformats.org/drawingml/2006/main" xmlns:pic="http://schemas.openxmlformats.org/drawingml/2006/picture">
            <wp:extent cx="5852160" cy="2097024"/>
            <wp:docPr id="6" name="Picture 6"/>
            <wp:cNvGraphicFramePr>
              <a:graphicFrameLocks noChangeAspect="1"/>
            </wp:cNvGraphicFramePr>
            <a:graphic>
              <a:graphicData uri="http://schemas.openxmlformats.org/drawingml/2006/picture">
                <pic:pic>
                  <pic:nvPicPr>
                    <pic:cNvPr id="0" name="worker_combinations.png"/>
                    <pic:cNvPicPr/>
                  </pic:nvPicPr>
                  <pic:blipFill>
                    <a:blip r:embed="rId16"/>
                    <a:stretch>
                      <a:fillRect/>
                    </a:stretch>
                  </pic:blipFill>
                  <pic:spPr>
                    <a:xfrm>
                      <a:off x="0" y="0"/>
                      <a:ext cx="5852160" cy="2097024"/>
                    </a:xfrm>
                    <a:prstGeom prst="rect"/>
                  </pic:spPr>
                </pic:pic>
              </a:graphicData>
            </a:graphic>
          </wp:inline>
        </w:drawing>
      </w:r>
    </w:p>
    <w:p>
      <w:pPr>
        <w:pStyle w:val="Caption"/>
      </w:pPr>
      <w:r>
        <w:t>图6 当前20人，按目标楼外资料分A/B；固定四人预算比较五种配比。</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1560"/>
        <w:gridCol w:w="1560"/>
        <w:gridCol w:w="1560"/>
        <w:gridCol w:w="1560"/>
        <w:gridCol w:w="1560"/>
        <w:gridCol w:w="1560"/>
      </w:tblGrid>
      <w:tr>
        <w:trPr>
          <w:cantSplit/>
          <w:tblHeader/>
        </w:trPr>
        <w:tc>
          <w:tcPr>
            <w:tcW w:type="dxa" w:w="1560"/>
            <w:shd w:fill="F2F4F7"/>
          </w:tcPr>
          <w:p>
            <w:pPr>
              <w:pStyle w:val="TableHeader"/>
              <w:keepNext/>
            </w:pPr>
            <w:r>
              <w:t>四人配比</w:t>
            </w:r>
          </w:p>
        </w:tc>
        <w:tc>
          <w:tcPr>
            <w:tcW w:type="dxa" w:w="1560"/>
            <w:shd w:fill="F2F4F7"/>
          </w:tcPr>
          <w:p>
            <w:pPr>
              <w:pStyle w:val="TableHeader"/>
              <w:keepNext/>
            </w:pPr>
            <w:r>
              <w:t>AAAA</w:t>
            </w:r>
          </w:p>
        </w:tc>
        <w:tc>
          <w:tcPr>
            <w:tcW w:type="dxa" w:w="1560"/>
            <w:shd w:fill="F2F4F7"/>
          </w:tcPr>
          <w:p>
            <w:pPr>
              <w:pStyle w:val="TableHeader"/>
              <w:keepNext/>
            </w:pPr>
            <w:r>
              <w:t>AAAB</w:t>
            </w:r>
          </w:p>
        </w:tc>
        <w:tc>
          <w:tcPr>
            <w:tcW w:type="dxa" w:w="1560"/>
            <w:shd w:fill="F2F4F7"/>
          </w:tcPr>
          <w:p>
            <w:pPr>
              <w:pStyle w:val="TableHeader"/>
              <w:keepNext/>
            </w:pPr>
            <w:r>
              <w:t>AABB</w:t>
            </w:r>
          </w:p>
        </w:tc>
        <w:tc>
          <w:tcPr>
            <w:tcW w:type="dxa" w:w="1560"/>
            <w:shd w:fill="F2F4F7"/>
          </w:tcPr>
          <w:p>
            <w:pPr>
              <w:pStyle w:val="TableHeader"/>
              <w:keepNext/>
            </w:pPr>
            <w:r>
              <w:t>ABBB</w:t>
            </w:r>
          </w:p>
        </w:tc>
        <w:tc>
          <w:tcPr>
            <w:tcW w:type="dxa" w:w="1560"/>
            <w:shd w:fill="F2F4F7"/>
          </w:tcPr>
          <w:p>
            <w:pPr>
              <w:pStyle w:val="TableHeader"/>
              <w:keepNext/>
            </w:pPr>
            <w:r>
              <w:t>BBBB</w:t>
            </w:r>
          </w:p>
        </w:tc>
      </w:tr>
      <w:tr>
        <w:trPr>
          <w:cantSplit/>
        </w:trPr>
        <w:tc>
          <w:tcPr>
            <w:tcW w:type="dxa" w:w="1560"/>
          </w:tcPr>
          <w:p>
            <w:pPr>
              <w:pStyle w:val="TableText"/>
              <w:keepNext w:val="0"/>
            </w:pPr>
            <w:r>
              <w:t>代表参考偏差OSPA30</w:t>
            </w:r>
          </w:p>
        </w:tc>
        <w:tc>
          <w:tcPr>
            <w:tcW w:type="dxa" w:w="1560"/>
          </w:tcPr>
          <w:p>
            <w:pPr>
              <w:pStyle w:val="TableText"/>
              <w:keepNext w:val="0"/>
            </w:pPr>
            <w:r>
              <w:t>3.98</w:t>
            </w:r>
          </w:p>
        </w:tc>
        <w:tc>
          <w:tcPr>
            <w:tcW w:type="dxa" w:w="1560"/>
          </w:tcPr>
          <w:p>
            <w:pPr>
              <w:pStyle w:val="TableText"/>
              <w:keepNext w:val="0"/>
            </w:pPr>
            <w:r>
              <w:t>4.24</w:t>
            </w:r>
          </w:p>
        </w:tc>
        <w:tc>
          <w:tcPr>
            <w:tcW w:type="dxa" w:w="1560"/>
          </w:tcPr>
          <w:p>
            <w:pPr>
              <w:pStyle w:val="TableText"/>
              <w:keepNext w:val="0"/>
            </w:pPr>
            <w:r>
              <w:t>4.67</w:t>
            </w:r>
          </w:p>
        </w:tc>
        <w:tc>
          <w:tcPr>
            <w:tcW w:type="dxa" w:w="1560"/>
          </w:tcPr>
          <w:p>
            <w:pPr>
              <w:pStyle w:val="TableText"/>
              <w:keepNext w:val="0"/>
            </w:pPr>
            <w:r>
              <w:t>4.97</w:t>
            </w:r>
          </w:p>
        </w:tc>
        <w:tc>
          <w:tcPr>
            <w:tcW w:type="dxa" w:w="1560"/>
          </w:tcPr>
          <w:p>
            <w:pPr>
              <w:pStyle w:val="TableText"/>
              <w:keepNext w:val="0"/>
            </w:pPr>
            <w:r>
              <w:t>5.14</w:t>
            </w:r>
          </w:p>
        </w:tc>
      </w:tr>
      <w:tr>
        <w:trPr>
          <w:cantSplit/>
        </w:trPr>
        <w:tc>
          <w:tcPr>
            <w:tcW w:type="dxa" w:w="1560"/>
          </w:tcPr>
          <w:p>
            <w:pPr>
              <w:pStyle w:val="TableText"/>
              <w:keepNext w:val="0"/>
            </w:pPr>
            <w:r>
              <w:t>代表参考偏差OSPA60</w:t>
            </w:r>
          </w:p>
        </w:tc>
        <w:tc>
          <w:tcPr>
            <w:tcW w:type="dxa" w:w="1560"/>
          </w:tcPr>
          <w:p>
            <w:pPr>
              <w:pStyle w:val="TableText"/>
              <w:keepNext w:val="0"/>
            </w:pPr>
            <w:r>
              <w:t>5.36</w:t>
            </w:r>
          </w:p>
        </w:tc>
        <w:tc>
          <w:tcPr>
            <w:tcW w:type="dxa" w:w="1560"/>
          </w:tcPr>
          <w:p>
            <w:pPr>
              <w:pStyle w:val="TableText"/>
              <w:keepNext w:val="0"/>
            </w:pPr>
            <w:r>
              <w:t>5.88</w:t>
            </w:r>
          </w:p>
        </w:tc>
        <w:tc>
          <w:tcPr>
            <w:tcW w:type="dxa" w:w="1560"/>
          </w:tcPr>
          <w:p>
            <w:pPr>
              <w:pStyle w:val="TableText"/>
              <w:keepNext w:val="0"/>
            </w:pPr>
            <w:r>
              <w:t>6.71</w:t>
            </w:r>
          </w:p>
        </w:tc>
        <w:tc>
          <w:tcPr>
            <w:tcW w:type="dxa" w:w="1560"/>
          </w:tcPr>
          <w:p>
            <w:pPr>
              <w:pStyle w:val="TableText"/>
              <w:keepNext w:val="0"/>
            </w:pPr>
            <w:r>
              <w:t>7.36</w:t>
            </w:r>
          </w:p>
        </w:tc>
        <w:tc>
          <w:tcPr>
            <w:tcW w:type="dxa" w:w="1560"/>
          </w:tcPr>
          <w:p>
            <w:pPr>
              <w:pStyle w:val="TableText"/>
              <w:keepNext w:val="0"/>
            </w:pPr>
            <w:r>
              <w:t>7.72</w:t>
            </w:r>
          </w:p>
        </w:tc>
      </w:tr>
      <w:tr>
        <w:trPr>
          <w:cantSplit/>
        </w:trPr>
        <w:tc>
          <w:tcPr>
            <w:tcW w:type="dxa" w:w="1560"/>
          </w:tcPr>
          <w:p>
            <w:pPr>
              <w:pStyle w:val="TableText"/>
              <w:keepNext w:val="0"/>
            </w:pPr>
            <w:r>
              <w:t>成对分歧OSPA30</w:t>
            </w:r>
          </w:p>
        </w:tc>
        <w:tc>
          <w:tcPr>
            <w:tcW w:type="dxa" w:w="1560"/>
          </w:tcPr>
          <w:p>
            <w:pPr>
              <w:pStyle w:val="TableText"/>
              <w:keepNext w:val="0"/>
            </w:pPr>
            <w:r>
              <w:t>7.44</w:t>
            </w:r>
          </w:p>
        </w:tc>
        <w:tc>
          <w:tcPr>
            <w:tcW w:type="dxa" w:w="1560"/>
          </w:tcPr>
          <w:p>
            <w:pPr>
              <w:pStyle w:val="TableText"/>
              <w:keepNext w:val="0"/>
            </w:pPr>
            <w:r>
              <w:t>7.68</w:t>
            </w:r>
          </w:p>
        </w:tc>
        <w:tc>
          <w:tcPr>
            <w:tcW w:type="dxa" w:w="1560"/>
          </w:tcPr>
          <w:p>
            <w:pPr>
              <w:pStyle w:val="TableText"/>
              <w:keepNext w:val="0"/>
            </w:pPr>
            <w:r>
              <w:t>7.86</w:t>
            </w:r>
          </w:p>
        </w:tc>
        <w:tc>
          <w:tcPr>
            <w:tcW w:type="dxa" w:w="1560"/>
          </w:tcPr>
          <w:p>
            <w:pPr>
              <w:pStyle w:val="TableText"/>
              <w:keepNext w:val="0"/>
            </w:pPr>
            <w:r>
              <w:t>7.96</w:t>
            </w:r>
          </w:p>
        </w:tc>
        <w:tc>
          <w:tcPr>
            <w:tcW w:type="dxa" w:w="1560"/>
          </w:tcPr>
          <w:p>
            <w:pPr>
              <w:pStyle w:val="TableText"/>
              <w:keepNext w:val="0"/>
            </w:pPr>
            <w:r>
              <w:t>7.99</w:t>
            </w:r>
          </w:p>
        </w:tc>
      </w:tr>
      <w:tr>
        <w:trPr>
          <w:cantSplit/>
        </w:trPr>
        <w:tc>
          <w:tcPr>
            <w:tcW w:type="dxa" w:w="1560"/>
          </w:tcPr>
          <w:p>
            <w:pPr>
              <w:pStyle w:val="TableText"/>
              <w:keepNext w:val="0"/>
            </w:pPr>
            <w:r>
              <w:t>成对分歧OSPA60</w:t>
            </w:r>
          </w:p>
        </w:tc>
        <w:tc>
          <w:tcPr>
            <w:tcW w:type="dxa" w:w="1560"/>
          </w:tcPr>
          <w:p>
            <w:pPr>
              <w:pStyle w:val="TableText"/>
              <w:keepNext w:val="0"/>
            </w:pPr>
            <w:r>
              <w:t>11.63</w:t>
            </w:r>
          </w:p>
        </w:tc>
        <w:tc>
          <w:tcPr>
            <w:tcW w:type="dxa" w:w="1560"/>
          </w:tcPr>
          <w:p>
            <w:pPr>
              <w:pStyle w:val="TableText"/>
              <w:keepNext w:val="0"/>
            </w:pPr>
            <w:r>
              <w:t>12.24</w:t>
            </w:r>
          </w:p>
        </w:tc>
        <w:tc>
          <w:tcPr>
            <w:tcW w:type="dxa" w:w="1560"/>
          </w:tcPr>
          <w:p>
            <w:pPr>
              <w:pStyle w:val="TableText"/>
              <w:keepNext w:val="0"/>
            </w:pPr>
            <w:r>
              <w:t>12.54</w:t>
            </w:r>
          </w:p>
        </w:tc>
        <w:tc>
          <w:tcPr>
            <w:tcW w:type="dxa" w:w="1560"/>
          </w:tcPr>
          <w:p>
            <w:pPr>
              <w:pStyle w:val="TableText"/>
              <w:keepNext w:val="0"/>
            </w:pPr>
            <w:r>
              <w:t>12.53</w:t>
            </w:r>
          </w:p>
        </w:tc>
        <w:tc>
          <w:tcPr>
            <w:tcW w:type="dxa" w:w="1560"/>
          </w:tcPr>
          <w:p>
            <w:pPr>
              <w:pStyle w:val="TableText"/>
              <w:keepNext w:val="0"/>
            </w:pPr>
            <w:r>
              <w:t>12.23</w:t>
            </w:r>
          </w:p>
        </w:tc>
      </w:tr>
    </w:tbl>
    <w:p>
      <w:r>
        <w:t>单位为度，先图后楼等权。参考指标共同41图/12楼；分歧共同55图/15楼。代表按组合内部距离选真实medoid，参考答案不参与选择；并列代表均权计分。</w:t>
      </w:r>
    </w:p>
    <w:p>
      <w:r>
        <w:t>两种参考偏差均有11/12楼AAAA低于BBBB，B6ByNegPMKs方向相反。当前20人的Ward三档最低偏差档在各留楼折均只有W2，AABC可组合图数为0。组合可计算、类别可复现和某类在20人下收敛是三个不同条件。</w:t>
      </w:r>
    </w:p>
    <w:p>
      <w:pPr>
        <w:pStyle w:val="Heading1"/>
        <w:pageBreakBefore/>
      </w:pPr>
      <w:r>
        <w:t>人数与参考质量：8人后平均变化较小</w:t>
      </w:r>
    </w:p>
    <w:p>
      <w:r>
        <w:t>在参考可评价且有至少20位真实人员的图上，沿相同200条全局人员顺序，分别用k=1、2、4、6、8、12、16、20人的组内距离选medoid，再评价该真实代表作答的参考偏差。全26人口径固定41图/12楼，当前20人固定40图/12楼。</w:t>
      </w:r>
    </w:p>
    <w:p>
      <w:pPr>
        <w:keepNext/>
        <w:spacing w:after="0"/>
      </w:pPr>
      <w:r>
        <w:drawing>
          <wp:inline xmlns:a="http://schemas.openxmlformats.org/drawingml/2006/main" xmlns:pic="http://schemas.openxmlformats.org/drawingml/2006/picture">
            <wp:extent cx="5852160" cy="2145792"/>
            <wp:docPr id="7" name="Picture 7"/>
            <wp:cNvGraphicFramePr>
              <a:graphicFrameLocks noChangeAspect="1"/>
            </wp:cNvGraphicFramePr>
            <a:graphic>
              <a:graphicData uri="http://schemas.openxmlformats.org/drawingml/2006/picture">
                <pic:pic>
                  <pic:nvPicPr>
                    <pic:cNvPr id="0" name="quality_prefix.png"/>
                    <pic:cNvPicPr/>
                  </pic:nvPicPr>
                  <pic:blipFill>
                    <a:blip r:embed="rId17"/>
                    <a:stretch>
                      <a:fillRect/>
                    </a:stretch>
                  </pic:blipFill>
                  <pic:spPr>
                    <a:xfrm>
                      <a:off x="0" y="0"/>
                      <a:ext cx="5852160" cy="2145792"/>
                    </a:xfrm>
                    <a:prstGeom prst="rect"/>
                  </pic:spPr>
                </pic:pic>
              </a:graphicData>
            </a:graphic>
          </wp:inline>
        </w:drawing>
      </w:r>
    </w:p>
    <w:p>
      <w:pPr>
        <w:pStyle w:val="Caption"/>
      </w:pPr>
      <w:r>
        <w:t>图7 各人数使用相同图集；曲线描述历史人员抽取下的代表参考偏差。</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1872"/>
        <w:gridCol w:w="1872"/>
        <w:gridCol w:w="1872"/>
        <w:gridCol w:w="1872"/>
        <w:gridCol w:w="1872"/>
      </w:tblGrid>
      <w:tr>
        <w:trPr>
          <w:cantSplit/>
          <w:tblHeader/>
        </w:trPr>
        <w:tc>
          <w:tcPr>
            <w:tcW w:type="dxa" w:w="1872"/>
            <w:shd w:fill="F2F4F7"/>
          </w:tcPr>
          <w:p>
            <w:pPr>
              <w:pStyle w:val="TableHeader"/>
              <w:keepNext/>
            </w:pPr>
            <w:r>
              <w:t>人员范围</w:t>
            </w:r>
          </w:p>
        </w:tc>
        <w:tc>
          <w:tcPr>
            <w:tcW w:type="dxa" w:w="1872"/>
            <w:shd w:fill="F2F4F7"/>
          </w:tcPr>
          <w:p>
            <w:pPr>
              <w:pStyle w:val="TableHeader"/>
              <w:keepNext/>
            </w:pPr>
            <w:r>
              <w:t>指标</w:t>
            </w:r>
          </w:p>
        </w:tc>
        <w:tc>
          <w:tcPr>
            <w:tcW w:type="dxa" w:w="1872"/>
            <w:shd w:fill="F2F4F7"/>
          </w:tcPr>
          <w:p>
            <w:pPr>
              <w:pStyle w:val="TableHeader"/>
              <w:keepNext/>
            </w:pPr>
            <w:r>
              <w:t>k=1</w:t>
            </w:r>
          </w:p>
        </w:tc>
        <w:tc>
          <w:tcPr>
            <w:tcW w:type="dxa" w:w="1872"/>
            <w:shd w:fill="F2F4F7"/>
          </w:tcPr>
          <w:p>
            <w:pPr>
              <w:pStyle w:val="TableHeader"/>
              <w:keepNext/>
            </w:pPr>
            <w:r>
              <w:t>k=8</w:t>
            </w:r>
          </w:p>
        </w:tc>
        <w:tc>
          <w:tcPr>
            <w:tcW w:type="dxa" w:w="1872"/>
            <w:shd w:fill="F2F4F7"/>
          </w:tcPr>
          <w:p>
            <w:pPr>
              <w:pStyle w:val="TableHeader"/>
              <w:keepNext/>
            </w:pPr>
            <w:r>
              <w:t>k=20</w:t>
            </w:r>
          </w:p>
        </w:tc>
      </w:tr>
      <w:tr>
        <w:trPr>
          <w:cantSplit/>
        </w:trPr>
        <w:tc>
          <w:tcPr>
            <w:tcW w:type="dxa" w:w="1872"/>
          </w:tcPr>
          <w:p>
            <w:pPr>
              <w:pStyle w:val="TableText"/>
              <w:keepNext w:val="0"/>
            </w:pPr>
            <w:r>
              <w:t>all26</w:t>
            </w:r>
          </w:p>
        </w:tc>
        <w:tc>
          <w:tcPr>
            <w:tcW w:type="dxa" w:w="1872"/>
          </w:tcPr>
          <w:p>
            <w:pPr>
              <w:pStyle w:val="TableText"/>
              <w:keepNext w:val="0"/>
            </w:pPr>
            <w:r>
              <w:t>ospa30</w:t>
            </w:r>
          </w:p>
        </w:tc>
        <w:tc>
          <w:tcPr>
            <w:tcW w:type="dxa" w:w="1872"/>
          </w:tcPr>
          <w:p>
            <w:pPr>
              <w:pStyle w:val="TableText"/>
              <w:keepNext w:val="0"/>
            </w:pPr>
            <w:r>
              <w:t>5.639</w:t>
            </w:r>
          </w:p>
        </w:tc>
        <w:tc>
          <w:tcPr>
            <w:tcW w:type="dxa" w:w="1872"/>
          </w:tcPr>
          <w:p>
            <w:pPr>
              <w:pStyle w:val="TableText"/>
              <w:keepNext w:val="0"/>
            </w:pPr>
            <w:r>
              <w:t>4.202</w:t>
            </w:r>
          </w:p>
        </w:tc>
        <w:tc>
          <w:tcPr>
            <w:tcW w:type="dxa" w:w="1872"/>
          </w:tcPr>
          <w:p>
            <w:pPr>
              <w:pStyle w:val="TableText"/>
              <w:keepNext w:val="0"/>
            </w:pPr>
            <w:r>
              <w:t>4.190</w:t>
            </w:r>
          </w:p>
        </w:tc>
      </w:tr>
      <w:tr>
        <w:trPr>
          <w:cantSplit/>
        </w:trPr>
        <w:tc>
          <w:tcPr>
            <w:tcW w:type="dxa" w:w="1872"/>
          </w:tcPr>
          <w:p>
            <w:pPr>
              <w:pStyle w:val="TableText"/>
              <w:keepNext w:val="0"/>
            </w:pPr>
            <w:r>
              <w:t>all26</w:t>
            </w:r>
          </w:p>
        </w:tc>
        <w:tc>
          <w:tcPr>
            <w:tcW w:type="dxa" w:w="1872"/>
          </w:tcPr>
          <w:p>
            <w:pPr>
              <w:pStyle w:val="TableText"/>
              <w:keepNext w:val="0"/>
            </w:pPr>
            <w:r>
              <w:t>ospa60</w:t>
            </w:r>
          </w:p>
        </w:tc>
        <w:tc>
          <w:tcPr>
            <w:tcW w:type="dxa" w:w="1872"/>
          </w:tcPr>
          <w:p>
            <w:pPr>
              <w:pStyle w:val="TableText"/>
              <w:keepNext w:val="0"/>
            </w:pPr>
            <w:r>
              <w:t>8.289</w:t>
            </w:r>
          </w:p>
        </w:tc>
        <w:tc>
          <w:tcPr>
            <w:tcW w:type="dxa" w:w="1872"/>
          </w:tcPr>
          <w:p>
            <w:pPr>
              <w:pStyle w:val="TableText"/>
              <w:keepNext w:val="0"/>
            </w:pPr>
            <w:r>
              <w:t>6.052</w:t>
            </w:r>
          </w:p>
        </w:tc>
        <w:tc>
          <w:tcPr>
            <w:tcW w:type="dxa" w:w="1872"/>
          </w:tcPr>
          <w:p>
            <w:pPr>
              <w:pStyle w:val="TableText"/>
              <w:keepNext w:val="0"/>
            </w:pPr>
            <w:r>
              <w:t>6.114</w:t>
            </w:r>
          </w:p>
        </w:tc>
      </w:tr>
      <w:tr>
        <w:trPr>
          <w:cantSplit/>
        </w:trPr>
        <w:tc>
          <w:tcPr>
            <w:tcW w:type="dxa" w:w="1872"/>
          </w:tcPr>
          <w:p>
            <w:pPr>
              <w:pStyle w:val="TableText"/>
              <w:keepNext w:val="0"/>
            </w:pPr>
            <w:r>
              <w:t>current20</w:t>
            </w:r>
          </w:p>
        </w:tc>
        <w:tc>
          <w:tcPr>
            <w:tcW w:type="dxa" w:w="1872"/>
          </w:tcPr>
          <w:p>
            <w:pPr>
              <w:pStyle w:val="TableText"/>
              <w:keepNext w:val="0"/>
            </w:pPr>
            <w:r>
              <w:t>ospa30</w:t>
            </w:r>
          </w:p>
        </w:tc>
        <w:tc>
          <w:tcPr>
            <w:tcW w:type="dxa" w:w="1872"/>
          </w:tcPr>
          <w:p>
            <w:pPr>
              <w:pStyle w:val="TableText"/>
              <w:keepNext w:val="0"/>
            </w:pPr>
            <w:r>
              <w:t>5.474</w:t>
            </w:r>
          </w:p>
        </w:tc>
        <w:tc>
          <w:tcPr>
            <w:tcW w:type="dxa" w:w="1872"/>
          </w:tcPr>
          <w:p>
            <w:pPr>
              <w:pStyle w:val="TableText"/>
              <w:keepNext w:val="0"/>
            </w:pPr>
            <w:r>
              <w:t>4.104</w:t>
            </w:r>
          </w:p>
        </w:tc>
        <w:tc>
          <w:tcPr>
            <w:tcW w:type="dxa" w:w="1872"/>
          </w:tcPr>
          <w:p>
            <w:pPr>
              <w:pStyle w:val="TableText"/>
              <w:keepNext w:val="0"/>
            </w:pPr>
            <w:r>
              <w:t>4.087</w:t>
            </w:r>
          </w:p>
        </w:tc>
      </w:tr>
      <w:tr>
        <w:trPr>
          <w:cantSplit/>
        </w:trPr>
        <w:tc>
          <w:tcPr>
            <w:tcW w:type="dxa" w:w="1872"/>
          </w:tcPr>
          <w:p>
            <w:pPr>
              <w:pStyle w:val="TableText"/>
              <w:keepNext w:val="0"/>
            </w:pPr>
            <w:r>
              <w:t>current20</w:t>
            </w:r>
          </w:p>
        </w:tc>
        <w:tc>
          <w:tcPr>
            <w:tcW w:type="dxa" w:w="1872"/>
          </w:tcPr>
          <w:p>
            <w:pPr>
              <w:pStyle w:val="TableText"/>
              <w:keepNext w:val="0"/>
            </w:pPr>
            <w:r>
              <w:t>ospa60</w:t>
            </w:r>
          </w:p>
        </w:tc>
        <w:tc>
          <w:tcPr>
            <w:tcW w:type="dxa" w:w="1872"/>
          </w:tcPr>
          <w:p>
            <w:pPr>
              <w:pStyle w:val="TableText"/>
              <w:keepNext w:val="0"/>
            </w:pPr>
            <w:r>
              <w:t>7.827</w:t>
            </w:r>
          </w:p>
        </w:tc>
        <w:tc>
          <w:tcPr>
            <w:tcW w:type="dxa" w:w="1872"/>
          </w:tcPr>
          <w:p>
            <w:pPr>
              <w:pStyle w:val="TableText"/>
              <w:keepNext w:val="0"/>
            </w:pPr>
            <w:r>
              <w:t>5.796</w:t>
            </w:r>
          </w:p>
        </w:tc>
        <w:tc>
          <w:tcPr>
            <w:tcW w:type="dxa" w:w="1872"/>
          </w:tcPr>
          <w:p>
            <w:pPr>
              <w:pStyle w:val="TableText"/>
              <w:keepNext w:val="0"/>
            </w:pPr>
            <w:r>
              <w:t>5.899</w:t>
            </w:r>
          </w:p>
        </w:tc>
      </w:tr>
    </w:tbl>
    <w:p>
      <w:r>
        <w:t>8→20人的楼等权变化：全26人OSPA30改善0.012°、OSPA60变差0.062°；当前20人分别改善0.016°、变差0.102°。均值变化较小与逐图改善、恶化并存。</w:t>
      </w:r>
    </w:p>
    <w:p>
      <w:r>
        <w:t>这说明给定参考与medoid汇聚方法下，历史平均边际变化已较小；不能证明理论质量上限，不能证明少数解释已完整覆盖，也不能据此认定停止新增受支持簇。当前没有把这条质量曲线替代持续阶段标签。</w:t>
      </w:r>
    </w:p>
    <w:p>
      <w:pPr>
        <w:pStyle w:val="Heading1"/>
        <w:pageBreakBefore/>
      </w:pPr>
      <w:r>
        <w:t>新增标注的验证设计与证据范围</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350"/>
        <w:gridCol w:w="2650"/>
        <w:gridCol w:w="4360"/>
      </w:tblGrid>
      <w:tr>
        <w:trPr>
          <w:cantSplit/>
          <w:tblHeader/>
        </w:trPr>
        <w:tc>
          <w:tcPr>
            <w:tcW w:type="dxa" w:w="2350"/>
            <w:shd w:fill="F2F4F7"/>
          </w:tcPr>
          <w:p>
            <w:pPr>
              <w:pStyle w:val="TableHeader"/>
              <w:keepNext/>
            </w:pPr>
            <w:r>
              <w:t>研究命题</w:t>
            </w:r>
          </w:p>
        </w:tc>
        <w:tc>
          <w:tcPr>
            <w:tcW w:type="dxa" w:w="2650"/>
            <w:shd w:fill="F2F4F7"/>
          </w:tcPr>
          <w:p>
            <w:pPr>
              <w:pStyle w:val="TableHeader"/>
              <w:keepNext/>
            </w:pPr>
            <w:r>
              <w:t>已有观测</w:t>
            </w:r>
          </w:p>
        </w:tc>
        <w:tc>
          <w:tcPr>
            <w:tcW w:type="dxa" w:w="4360"/>
            <w:shd w:fill="F2F4F7"/>
          </w:tcPr>
          <w:p>
            <w:pPr>
              <w:pStyle w:val="TableHeader"/>
              <w:keepNext/>
            </w:pPr>
            <w:r>
              <w:t>尚需新增数据检验</w:t>
            </w:r>
          </w:p>
        </w:tc>
      </w:tr>
      <w:tr>
        <w:trPr>
          <w:cantSplit/>
        </w:trPr>
        <w:tc>
          <w:tcPr>
            <w:tcW w:type="dxa" w:w="2350"/>
          </w:tcPr>
          <w:p>
            <w:pPr>
              <w:pStyle w:val="TableText"/>
              <w:keepNext w:val="0"/>
            </w:pPr>
            <w:r>
              <w:t>有限范围内的阶段差异</w:t>
            </w:r>
          </w:p>
        </w:tc>
        <w:tc>
          <w:tcPr>
            <w:tcW w:type="dxa" w:w="2650"/>
          </w:tcPr>
          <w:p>
            <w:pPr>
              <w:pStyle w:val="TableText"/>
              <w:keepNext w:val="0"/>
            </w:pPr>
            <w:r>
              <w:t>同楼存在早、晚、未达到及不确定图；稳定多簇实例</w:t>
            </w:r>
          </w:p>
        </w:tc>
        <w:tc>
          <w:tcPr>
            <w:tcW w:type="dxa" w:w="4360"/>
          </w:tcPr>
          <w:p>
            <w:pPr>
              <w:pStyle w:val="TableText"/>
              <w:keepNext w:val="0"/>
            </w:pPr>
            <w:r>
              <w:t>更长人数和新顺序是否保持阶段</w:t>
            </w:r>
          </w:p>
        </w:tc>
      </w:tr>
      <w:tr>
        <w:trPr>
          <w:cantSplit/>
        </w:trPr>
        <w:tc>
          <w:tcPr>
            <w:tcW w:type="dxa" w:w="2350"/>
          </w:tcPr>
          <w:p>
            <w:pPr>
              <w:pStyle w:val="TableText"/>
              <w:keepNext w:val="0"/>
            </w:pPr>
            <w:r>
              <w:t>同楼与图像特征预测</w:t>
            </w:r>
          </w:p>
        </w:tc>
        <w:tc>
          <w:tcPr>
            <w:tcW w:type="dxa" w:w="2650"/>
          </w:tcPr>
          <w:p>
            <w:pPr>
              <w:pStyle w:val="TableText"/>
              <w:keepNext w:val="0"/>
            </w:pPr>
            <w:r>
              <w:t>完成50图/10楼留图；风险近邻有参数相关的误差改善</w:t>
            </w:r>
          </w:p>
        </w:tc>
        <w:tc>
          <w:tcPr>
            <w:tcW w:type="dxa" w:w="4360"/>
          </w:tcPr>
          <w:p>
            <w:pPr>
              <w:pStyle w:val="TableText"/>
              <w:keepNext w:val="0"/>
            </w:pPr>
            <w:r>
              <w:t>新目标图和新人批次的预测误差及覆盖</w:t>
            </w:r>
          </w:p>
        </w:tc>
      </w:tr>
      <w:tr>
        <w:trPr>
          <w:cantSplit/>
        </w:trPr>
        <w:tc>
          <w:tcPr>
            <w:tcW w:type="dxa" w:w="2350"/>
          </w:tcPr>
          <w:p>
            <w:pPr>
              <w:pStyle w:val="TableText"/>
              <w:keepNext w:val="0"/>
            </w:pPr>
            <w:r>
              <w:t>人员组合复用</w:t>
            </w:r>
          </w:p>
        </w:tc>
        <w:tc>
          <w:tcPr>
            <w:tcW w:type="dxa" w:w="2650"/>
          </w:tcPr>
          <w:p>
            <w:pPr>
              <w:pStyle w:val="TableText"/>
              <w:keepNext w:val="0"/>
            </w:pPr>
            <w:r>
              <w:t>真实独立作答可形成多种配比，代表偏差有历史差异</w:t>
            </w:r>
          </w:p>
        </w:tc>
        <w:tc>
          <w:tcPr>
            <w:tcW w:type="dxa" w:w="4360"/>
          </w:tcPr>
          <w:p>
            <w:pPr>
              <w:pStyle w:val="TableText"/>
              <w:keepNext w:val="0"/>
            </w:pPr>
            <w:r>
              <w:t>新人员档位及比例效果是否复现</w:t>
            </w:r>
          </w:p>
        </w:tc>
      </w:tr>
      <w:tr>
        <w:trPr>
          <w:cantSplit/>
        </w:trPr>
        <w:tc>
          <w:tcPr>
            <w:tcW w:type="dxa" w:w="2350"/>
          </w:tcPr>
          <w:p>
            <w:pPr>
              <w:pStyle w:val="TableText"/>
              <w:keepNext w:val="0"/>
            </w:pPr>
            <w:r>
              <w:t>质量边际变化</w:t>
            </w:r>
          </w:p>
        </w:tc>
        <w:tc>
          <w:tcPr>
            <w:tcW w:type="dxa" w:w="2650"/>
          </w:tcPr>
          <w:p>
            <w:pPr>
              <w:pStyle w:val="TableText"/>
              <w:keepNext w:val="0"/>
            </w:pPr>
            <w:r>
              <w:t>固定图集的8→20平均变化较小</w:t>
            </w:r>
          </w:p>
        </w:tc>
        <w:tc>
          <w:tcPr>
            <w:tcW w:type="dxa" w:w="4360"/>
          </w:tcPr>
          <w:p>
            <w:pPr>
              <w:pStyle w:val="TableText"/>
              <w:keepNext w:val="0"/>
            </w:pPr>
            <w:r>
              <w:t>其他汇聚方法、独立参考与更大人数</w:t>
            </w:r>
          </w:p>
        </w:tc>
      </w:tr>
    </w:tbl>
    <w:p>
      <w:r>
        <w:t>新增数据按人员独立采集一次。每个building保留多张历史源与多张目标，源和目标两侧都具有高人数重复标注。人员校准图与预测目标图分开；不以目标图结果定义人员档位。</w:t>
      </w:r>
    </w:p>
    <w:p>
      <w:r>
        <w:t>在查看目标图完整标注前保存源图、特征版本、分簇阈值、稳定容差、起点/曲线预测和未知范围。补采N=3–7的图可以直接检验本次已保存的H=20预测。人数预算应覆盖预测起点及其后至少5人的观察，而不是把20预设为所有图的停止点。</w:t>
      </w:r>
    </w:p>
    <w:p>
      <w:r>
        <w:t>正式评价分别统计可识别目标、观察内未达到、未知和未达到目标观察人数的情况。预测是否有效由预先固定的同楼、楼外和特征基线共同判断，不能只挑预测有利的building、q、人员范围或可识别子集。</w:t>
      </w:r>
    </w:p>
    <w:p>
      <w:r>
        <w:t>研究范围以当前可观测量为限：图像稳定阶段与参考质量分别度量；人员档位采用可检验的操作定义；不将“稳定”替换为“正确”，不将“偏差高”替换为“粗心”。</w:t>
      </w:r>
    </w:p>
    <w:p>
      <w:pPr>
        <w:pStyle w:val="Heading1"/>
        <w:pageBreakBefore/>
      </w:pPr>
      <w:r>
        <w:t>数据追溯、验证与方法来源</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7DEE5"/>
          <w:left w:val="single" w:sz="4" w:color="D7DEE5"/>
          <w:bottom w:val="single" w:sz="4" w:color="D7DEE5"/>
          <w:right w:val="single" w:sz="4" w:color="D7DEE5"/>
          <w:insideH w:val="single" w:sz="4" w:color="D7DEE5"/>
          <w:insideV w:val="single" w:sz="4" w:color="D7DEE5"/>
        </w:tblBorders>
      </w:tblPr>
      <w:tblGrid>
        <w:gridCol w:w="2600"/>
        <w:gridCol w:w="6760"/>
      </w:tblGrid>
      <w:tr>
        <w:trPr>
          <w:cantSplit/>
          <w:tblHeader/>
        </w:trPr>
        <w:tc>
          <w:tcPr>
            <w:tcW w:type="dxa" w:w="2600"/>
            <w:shd w:fill="F2F4F7"/>
          </w:tcPr>
          <w:p>
            <w:pPr>
              <w:pStyle w:val="TableHeader"/>
              <w:keepNext/>
            </w:pPr>
            <w:r>
              <w:t>层级</w:t>
            </w:r>
          </w:p>
        </w:tc>
        <w:tc>
          <w:tcPr>
            <w:tcW w:type="dxa" w:w="6760"/>
            <w:shd w:fill="F2F4F7"/>
          </w:tcPr>
          <w:p>
            <w:pPr>
              <w:pStyle w:val="TableHeader"/>
              <w:keepNext/>
            </w:pPr>
            <w:r>
              <w:t>来源与验证</w:t>
            </w:r>
          </w:p>
        </w:tc>
      </w:tr>
      <w:tr>
        <w:trPr>
          <w:cantSplit/>
        </w:trPr>
        <w:tc>
          <w:tcPr>
            <w:tcW w:type="dxa" w:w="2600"/>
          </w:tcPr>
          <w:p>
            <w:pPr>
              <w:pStyle w:val="TableText"/>
              <w:keepNext w:val="0"/>
            </w:pPr>
            <w:r>
              <w:t>原始响应</w:t>
            </w:r>
          </w:p>
        </w:tc>
        <w:tc>
          <w:tcPr>
            <w:tcW w:type="dxa" w:w="6760"/>
          </w:tcPr>
          <w:p>
            <w:pPr>
              <w:pStyle w:val="TableText"/>
              <w:keepNext w:val="0"/>
            </w:pPr>
            <w:r>
              <w:t>18份Label Studio导出；2501个canonical及2513条版本谱系</w:t>
            </w:r>
          </w:p>
        </w:tc>
      </w:tr>
      <w:tr>
        <w:trPr>
          <w:cantSplit/>
        </w:trPr>
        <w:tc>
          <w:tcPr>
            <w:tcW w:type="dxa" w:w="2600"/>
          </w:tcPr>
          <w:p>
            <w:pPr>
              <w:pStyle w:val="TableText"/>
              <w:keepNext w:val="0"/>
            </w:pPr>
            <w:r>
              <w:t>人工处理计算视图</w:t>
            </w:r>
          </w:p>
        </w:tc>
        <w:tc>
          <w:tcPr>
            <w:tcW w:type="dxa" w:w="6760"/>
          </w:tcPr>
          <w:p>
            <w:pPr>
              <w:pStyle w:val="TableText"/>
              <w:keepNext w:val="0"/>
            </w:pPr>
            <w:r>
              <w:t>reviewed：8份删点、2份补点、5份逐份排除；未经确认的奇数点不自动修补</w:t>
            </w:r>
          </w:p>
        </w:tc>
      </w:tr>
      <w:tr>
        <w:trPr>
          <w:cantSplit/>
        </w:trPr>
        <w:tc>
          <w:tcPr>
            <w:tcW w:type="dxa" w:w="2600"/>
          </w:tcPr>
          <w:p>
            <w:pPr>
              <w:pStyle w:val="TableText"/>
              <w:keepNext w:val="0"/>
            </w:pPr>
            <w:r>
              <w:t>几何分簇</w:t>
            </w:r>
          </w:p>
        </w:tc>
        <w:tc>
          <w:tcPr>
            <w:tcW w:type="dxa" w:w="6760"/>
          </w:tcPr>
          <w:p>
            <w:pPr>
              <w:pStyle w:val="TableText"/>
              <w:keepNext w:val="0"/>
            </w:pPr>
            <w:r>
              <w:t>revised成对几何与前缀分区；hard effective point count；保留非唯一/不可评价</w:t>
            </w:r>
          </w:p>
        </w:tc>
      </w:tr>
      <w:tr>
        <w:trPr>
          <w:cantSplit/>
        </w:trPr>
        <w:tc>
          <w:tcPr>
            <w:tcW w:type="dxa" w:w="2600"/>
          </w:tcPr>
          <w:p>
            <w:pPr>
              <w:pStyle w:val="TableText"/>
              <w:keepNext w:val="0"/>
            </w:pPr>
            <w:r>
              <w:t>模型</w:t>
            </w:r>
          </w:p>
        </w:tc>
        <w:tc>
          <w:tcPr>
            <w:tcW w:type="dxa" w:w="6760"/>
          </w:tcPr>
          <w:p>
            <w:pPr>
              <w:pStyle w:val="TableText"/>
              <w:keepNext w:val="0"/>
            </w:pPr>
            <w:r>
              <w:t>HoHoNet布局ep300；统一214图特征；冻结参考白化空间1647图</w:t>
            </w:r>
          </w:p>
        </w:tc>
      </w:tr>
      <w:tr>
        <w:trPr>
          <w:cantSplit/>
        </w:trPr>
        <w:tc>
          <w:tcPr>
            <w:tcW w:type="dxa" w:w="2600"/>
          </w:tcPr>
          <w:p>
            <w:pPr>
              <w:pStyle w:val="TableText"/>
              <w:keepNext w:val="0"/>
            </w:pPr>
            <w:r>
              <w:t>阶段独立复算</w:t>
            </w:r>
          </w:p>
        </w:tc>
        <w:tc>
          <w:tcPr>
            <w:tcW w:type="dxa" w:w="6760"/>
          </w:tcPr>
          <w:p>
            <w:pPr>
              <w:pStyle w:val="TableText"/>
              <w:keepNext w:val="0"/>
            </w:pPr>
            <w:r>
              <w:t>4图×2几何配置×2人员范围×200顺序；48000节点、240聚合节点一致</w:t>
            </w:r>
          </w:p>
        </w:tc>
      </w:tr>
      <w:tr>
        <w:trPr>
          <w:cantSplit/>
        </w:trPr>
        <w:tc>
          <w:tcPr>
            <w:tcW w:type="dxa" w:w="2600"/>
          </w:tcPr>
          <w:p>
            <w:pPr>
              <w:pStyle w:val="TableText"/>
              <w:keepNext w:val="0"/>
            </w:pPr>
            <w:r>
              <w:t>人员组合核对</w:t>
            </w:r>
          </w:p>
        </w:tc>
        <w:tc>
          <w:tcPr>
            <w:tcW w:type="dxa" w:w="6760"/>
          </w:tcPr>
          <w:p>
            <w:pPr>
              <w:pStyle w:val="TableText"/>
              <w:keepNext w:val="0"/>
            </w:pPr>
            <w:r>
              <w:t>6179条闭式组合核对；259200条质量前缀排列节点</w:t>
            </w:r>
          </w:p>
        </w:tc>
      </w:tr>
      <w:tr>
        <w:trPr>
          <w:cantSplit/>
        </w:trPr>
        <w:tc>
          <w:tcPr>
            <w:tcW w:type="dxa" w:w="2600"/>
          </w:tcPr>
          <w:p>
            <w:pPr>
              <w:pStyle w:val="TableText"/>
              <w:keepNext w:val="0"/>
            </w:pPr>
            <w:r>
              <w:t>正式边界</w:t>
            </w:r>
          </w:p>
        </w:tc>
        <w:tc>
          <w:tcPr>
            <w:tcW w:type="dxa" w:w="6760"/>
          </w:tcPr>
          <w:p>
            <w:pPr>
              <w:pStyle w:val="TableText"/>
              <w:keepNext w:val="0"/>
            </w:pPr>
            <w:r>
              <w:t>没有改变原始标注、正式方法合同、人员资格、派发或停止规则</w:t>
            </w:r>
          </w:p>
        </w:tc>
      </w:tr>
    </w:tbl>
    <w:p>
      <w:r>
        <w:t>旧两批特征缓存不能直接混用。87张重叠历史图的向量原本不同；本轮从图像统一重提取。与Stage3的144张重叠图，共享向量最大绝对差约0.000304，重算风险最大差约0.0568；CPU与旧GPU缓存的数值环境不相同，完整差异保留在审计表。</w:t>
      </w:r>
    </w:p>
    <w:p>
      <w:r>
        <w:t>HoHoNet的共享潜在水平特征原本用于全景布局等视觉任务；本轮把冻结表示及其参考空间距离作为人类标注阶段的候选预测变量。这项用途由本轮留图实验检验，不能从网络名称或论文的视觉性能直接推出。</w:t>
      </w:r>
    </w:p>
    <w:p>
      <w:hyperlink r:id="rId18">
        <w:r>
          <w:rPr>
            <w:color w:val="2E74B5"/>
          </w:rPr>
          <w:t>[1] Sun 等，HoHoNet: 360 Indoor Holistic Understanding With Latent Horizontal Features，CVPR 2021。</w:t>
        </w:r>
      </w:hyperlink>
    </w:p>
    <w:p>
      <w:r>
        <w:t>完整逐图数据、所有参数、预测覆盖、人员成员与组合表以及复现命令见同目录研究验证报告及stages、features、prediction、workers子目录。本文为客观结果整理；所有分析均为历史探索，尚无本轮新增真人标注的验证结果。</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相似场景标注稳定阶段 · 历史数据验证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snapToGrid w:val="0"/>
    </w:pPr>
    <w:rPr>
      <w:rFonts w:ascii="Calibri" w:hAnsi="Calibri" w:eastAsia="Microsoft YaHei"/>
      <w:b w:val="0"/>
      <w:i w:val="0"/>
      <w:color w:val="20252B"/>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snapToGrid w:val="0"/>
    </w:pPr>
    <w:rPr>
      <w:rFonts w:ascii="Calibri" w:hAnsi="Calibri" w:eastAsia="Microsoft YaHei"/>
      <w:b w:val="0"/>
      <w:i w:val="0"/>
      <w:color w:val="5966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snapToGrid w:val="0"/>
    </w:pPr>
    <w:rPr>
      <w:rFonts w:ascii="Calibri" w:hAnsi="Calibri" w:eastAsia="Microsoft YaHei"/>
      <w:b w:val="0"/>
      <w:i w:val="0"/>
      <w:color w:val="5966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snapToGrid w:val="0"/>
    </w:pPr>
    <w:rPr>
      <w:rFonts w:asciiTheme="majorHAnsi" w:eastAsiaTheme="majorEastAsia" w:hAnsiTheme="majorHAnsi" w:cstheme="majorBidi" w:ascii="Calibri" w:hAnsi="Calibri" w:eastAsia="Microsoft YaHe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snapToGrid w:val="0"/>
    </w:pPr>
    <w:rPr>
      <w:rFonts w:asciiTheme="majorHAnsi" w:eastAsiaTheme="majorEastAsia" w:hAnsiTheme="majorHAnsi" w:cstheme="majorBidi" w:ascii="Calibri" w:hAnsi="Calibri" w:eastAsia="Microsoft YaHe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snapToGrid w:val="0"/>
    </w:pPr>
    <w:rPr>
      <w:rFonts w:asciiTheme="majorHAnsi" w:eastAsiaTheme="majorEastAsia" w:hAnsiTheme="majorHAnsi" w:cstheme="majorBidi" w:ascii="Calibri" w:hAnsi="Calibri" w:eastAsia="Microsoft YaHe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snapToGrid w:val="0"/>
    </w:pPr>
    <w:rPr>
      <w:rFonts w:asciiTheme="majorHAnsi" w:eastAsiaTheme="majorEastAsia" w:hAnsiTheme="majorHAnsi" w:cstheme="majorBidi" w:ascii="Calibri" w:hAnsi="Calibri" w:eastAsia="Microsoft YaHei"/>
      <w:b/>
      <w:i w:val="0"/>
      <w:color w:val="2025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snapToGrid w:val="0"/>
    </w:pPr>
    <w:rPr>
      <w:rFonts w:asciiTheme="majorHAnsi" w:eastAsiaTheme="majorEastAsia" w:hAnsiTheme="majorHAnsi" w:cstheme="majorBidi" w:ascii="Calibri" w:hAnsi="Calibri" w:eastAsia="Microsoft YaHei"/>
      <w:b w:val="0"/>
      <w:i w:val="0"/>
      <w:iCs/>
      <w:color w:val="5966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120"/>
      <w:snapToGrid w:val="0"/>
    </w:pPr>
    <w:rPr>
      <w:rFonts w:ascii="Calibri" w:hAnsi="Calibri" w:eastAsia="Microsoft YaHei"/>
      <w:b w:val="0"/>
      <w:bCs/>
      <w:i w:val="0"/>
      <w:color w:val="5966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0" w:line="264" w:lineRule="auto"/>
      <w:snapToGrid w:val="0"/>
    </w:pPr>
    <w:rPr>
      <w:rFonts w:ascii="Calibri" w:hAnsi="Calibri" w:eastAsia="Microsoft YaHei"/>
      <w:b w:val="0"/>
      <w:i w:val="0"/>
      <w:color w:val="20252B"/>
      <w:sz w:val="18"/>
    </w:rPr>
  </w:style>
  <w:style w:type="paragraph" w:customStyle="1" w:styleId="TableHeader">
    <w:name w:val="Table Header"/>
    <w:pPr>
      <w:widowControl/>
      <w:spacing w:before="0" w:after="0" w:line="264" w:lineRule="auto"/>
      <w:snapToGrid w:val="0"/>
    </w:pPr>
    <w:rPr>
      <w:rFonts w:ascii="Calibri" w:hAnsi="Calibri" w:eastAsia="Microsoft YaHei"/>
      <w:b/>
      <w:i w:val="0"/>
      <w:color w:val="2025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openaccess.thecvf.com/content/CVPR2021/html/Sun_HoHoNet_360_Indoor_Holistic_Understanding_With_Latent_Horizontal_Features_CVPR_2021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