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SOP dasar layanan barber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Mulai dengan satu alur</w:t>
      </w:r>
    </w:p>
    <w:p>
      <w:r>
        <w:t>Isi [NAMA USAHA], [HARI/JAM BUKA] dan [PIC PERAN]. Sesuaikan langkah dengan alat serta aturan kerja setempat. Uji pada satu giliran, catat hambatan, lalu revisi. Jangan memakai contoh ini sebagai standar medis atau sertifikasi keselamatan.</w:t>
      </w:r>
    </w:p>
    <w:p>
      <w:pPr>
        <w:pStyle w:val="Heading1"/>
      </w:pPr>
      <w:r>
        <w:t>Urutan layanan</w:t>
      </w:r>
    </w:p>
    <w:p>
      <w:r>
        <w:t>Sambut pelanggan → pahami layanan dan preferensi → jelaskan menu/harga usaha → konfirmasi pilihan → lakukan layanan sesuai kompetensi operator → konfirmasi hasil → pencatatan sederhana → rapikan area. Jangan menyamakan harga layanan barber pada template dengan harga paket Ranel.</w:t>
      </w:r>
    </w:p>
    <w:p>
      <w:pPr>
        <w:pStyle w:val="Heading1"/>
      </w:pPr>
      <w:r>
        <w:t>Ketika terjadi masalah</w:t>
      </w:r>
    </w:p>
    <w:p>
      <w:r>
        <w:t>Hentikan langkah yang tidak aman. Dengarkan keluhan, ulangi pemahaman tanpa menyalahkan, lalu arahkan ke PIC. Jangan menjanjikan remedy di luar kewenangan atau hasil yang tidak bisa dipastikan.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Tahap</w:t>
            </w:r>
          </w:p>
        </w:tc>
        <w:tc>
          <w:tcPr>
            <w:tcW w:type="dxa" w:w="2592"/>
          </w:tcPr>
          <w:p>
            <w:r>
              <w:t>Langkah yang disepakati</w:t>
            </w:r>
          </w:p>
        </w:tc>
        <w:tc>
          <w:tcPr>
            <w:tcW w:type="dxa" w:w="2592"/>
          </w:tcPr>
          <w:p>
            <w:r>
              <w:t>PIC</w:t>
            </w:r>
          </w:p>
        </w:tc>
        <w:tc>
          <w:tcPr>
            <w:tcW w:type="dxa" w:w="2592"/>
          </w:tcPr>
          <w:p>
            <w:r>
              <w:t>Bukti selesai</w:t>
            </w:r>
          </w:p>
        </w:tc>
      </w:tr>
      <w:tr>
        <w:tc>
          <w:tcPr>
            <w:tcW w:type="dxa" w:w="2592"/>
          </w:tcPr>
          <w:p>
            <w:r>
              <w:t>Buka</w:t>
            </w:r>
          </w:p>
        </w:tc>
        <w:tc>
          <w:tcPr>
            <w:tcW w:type="dxa" w:w="2592"/>
          </w:tcPr>
          <w:p>
            <w:r>
              <w:t>Periksa area, alat dan menu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Checklist</w:t>
            </w:r>
          </w:p>
        </w:tc>
      </w:tr>
      <w:tr>
        <w:tc>
          <w:tcPr>
            <w:tcW w:type="dxa" w:w="2592"/>
          </w:tcPr>
          <w:p>
            <w:r>
              <w:t>Sambut</w:t>
            </w:r>
          </w:p>
        </w:tc>
        <w:tc>
          <w:tcPr>
            <w:tcW w:type="dxa" w:w="2592"/>
          </w:tcPr>
          <w:p>
            <w:r>
              <w:t>Tanyakan kebutuhan dan pilihan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Pilihan dikonfirmasi</w:t>
            </w:r>
          </w:p>
        </w:tc>
      </w:tr>
      <w:tr>
        <w:tc>
          <w:tcPr>
            <w:tcW w:type="dxa" w:w="2592"/>
          </w:tcPr>
          <w:p>
            <w:r>
              <w:t>Layanan</w:t>
            </w:r>
          </w:p>
        </w:tc>
        <w:tc>
          <w:tcPr>
            <w:tcW w:type="dxa" w:w="2592"/>
          </w:tcPr>
          <w:p>
            <w:r>
              <w:t>Jalankan layanan yang disepakati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Hasil dikonfirmasi</w:t>
            </w:r>
          </w:p>
        </w:tc>
      </w:tr>
      <w:tr>
        <w:tc>
          <w:tcPr>
            <w:tcW w:type="dxa" w:w="2592"/>
          </w:tcPr>
          <w:p>
            <w:r>
              <w:t>Tutup</w:t>
            </w:r>
          </w:p>
        </w:tc>
        <w:tc>
          <w:tcPr>
            <w:tcW w:type="dxa" w:w="2592"/>
          </w:tcPr>
          <w:p>
            <w:r>
              <w:t>Rapikan dan tinjau hambatan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Catatan review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Masalah operasional</w:t>
            </w:r>
          </w:p>
        </w:tc>
        <w:tc>
          <w:tcPr>
            <w:tcW w:type="dxa" w:w="3456"/>
          </w:tcPr>
          <w:p>
            <w:r>
              <w:t>Tindakan/PIC</w:t>
            </w:r>
          </w:p>
        </w:tc>
        <w:tc>
          <w:tcPr>
            <w:tcW w:type="dxa" w:w="3456"/>
          </w:tcPr>
          <w:p>
            <w:r>
              <w:t>Tanggal review</w:t>
            </w:r>
          </w:p>
        </w:tc>
      </w:tr>
      <w:tr>
        <w:tc>
          <w:tcPr>
            <w:tcW w:type="dxa" w:w="3456"/>
          </w:tcPr>
          <w:p>
            <w:r>
              <w:t>[Isi tanpa identitas pelanggan]</w:t>
            </w:r>
          </w:p>
        </w:tc>
        <w:tc>
          <w:tcPr>
            <w:tcW w:type="dxa" w:w="3456"/>
          </w:tcPr>
          <w:p>
            <w:r>
              <w:t>[Tindakan]</w:t>
            </w:r>
          </w:p>
        </w:tc>
        <w:tc>
          <w:tcPr>
            <w:tcW w:type="dxa" w:w="3456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dasar layanan barber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