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TOLVEY | Public Commerce &amp; Private Operations</w:t>
      </w:r>
    </w:p>
    <w:p>
      <w:pPr>
        <w:pStyle w:val="Author"/>
      </w:pPr>
      <w:r>
        <w:t xml:space="preserve">TOLVEY</w:t>
      </w:r>
    </w:p>
    <w:p>
      <w:pPr>
        <w:spacing w:after="60"/>
      </w:pPr>
      <w:r>
        <w:rPr>
          <w:b/>
          <w:sz w:val="20"/>
        </w:rPr>
        <w:t>Isi Dokumen</w:t>
      </w:r>
    </w:p>
    <w:p>
      <w:pPr>
        <w:spacing w:after="60"/>
      </w:pPr>
      <w:r>
        <w:rPr>
          <w:sz w:val="20"/>
        </w:rPr>
        <w:t>1. Arti own shop yang resmi</w:t>
      </w:r>
    </w:p>
    <w:p>
      <w:pPr>
        <w:spacing w:after="60"/>
      </w:pPr>
      <w:r>
        <w:rPr>
          <w:sz w:val="20"/>
        </w:rPr>
        <w:t>2. Trust surfaces dan topologi</w:t>
      </w:r>
    </w:p>
    <w:p>
      <w:pPr>
        <w:spacing w:after="60"/>
      </w:pPr>
      <w:r>
        <w:rPr>
          <w:sz w:val="20"/>
        </w:rPr>
        <w:t>3. Public commerce layer</w:t>
      </w:r>
    </w:p>
    <w:p>
      <w:pPr>
        <w:spacing w:after="60"/>
      </w:pPr>
      <w:r>
        <w:rPr>
          <w:sz w:val="20"/>
        </w:rPr>
        <w:t>4. Private operations/control plane</w:t>
      </w:r>
    </w:p>
    <w:p>
      <w:pPr>
        <w:spacing w:after="60"/>
      </w:pPr>
      <w:r>
        <w:rPr>
          <w:sz w:val="20"/>
        </w:rPr>
        <w:t>5. Distribution/demand: internal control, public outputs</w:t>
      </w:r>
    </w:p>
    <w:p>
      <w:pPr>
        <w:spacing w:after="60"/>
      </w:pPr>
      <w:r>
        <w:rPr>
          <w:sz w:val="20"/>
        </w:rPr>
        <w:t>6. Identity, authorization dan action safety</w:t>
      </w:r>
    </w:p>
    <w:p>
      <w:pPr>
        <w:spacing w:after="60"/>
      </w:pPr>
      <w:r>
        <w:rPr>
          <w:sz w:val="20"/>
        </w:rPr>
        <w:t>7. Canonical services and orchestration</w:t>
      </w:r>
    </w:p>
    <w:p>
      <w:pPr>
        <w:spacing w:after="60"/>
      </w:pPr>
      <w:r>
        <w:rPr>
          <w:sz w:val="20"/>
        </w:rPr>
        <w:t>8. Stack/provider selection and decision gates</w:t>
      </w:r>
    </w:p>
    <w:p>
      <w:pPr>
        <w:spacing w:after="60"/>
      </w:pPr>
      <w:r>
        <w:rPr>
          <w:sz w:val="20"/>
        </w:rPr>
        <w:t>9. Production-grade controls and enterprise evolution</w:t>
      </w:r>
    </w:p>
    <w:p>
      <w:pPr>
        <w:spacing w:after="60"/>
      </w:pPr>
      <w:r>
        <w:rPr>
          <w:sz w:val="20"/>
        </w:rPr>
        <w:t>10. Monitoring, finance truth and failure isolation</w:t>
      </w:r>
    </w:p>
    <w:p>
      <w:pPr>
        <w:spacing w:after="60"/>
      </w:pPr>
      <w:r>
        <w:rPr>
          <w:sz w:val="20"/>
        </w:rPr>
        <w:t>11. Indonesian business/legal launch register</w:t>
      </w:r>
    </w:p>
    <w:p>
      <w:pPr>
        <w:spacing w:after="60"/>
      </w:pPr>
      <w:r>
        <w:rPr>
          <w:sz w:val="20"/>
        </w:rPr>
        <w:t>12. Current gaps and build sequence</w:t>
      </w:r>
    </w:p>
    <w:p>
      <w:pPr>
        <w:spacing w:after="60"/>
      </w:pPr>
      <w:r>
        <w:rPr>
          <w:sz w:val="20"/>
        </w:rPr>
        <w:t>13. Acceptance tests for layer separation (target, not executed)</w:t>
      </w:r>
    </w:p>
    <w:p>
      <w:pPr>
        <w:spacing w:after="60"/>
      </w:pPr>
      <w:r>
        <w:rPr>
          <w:sz w:val="20"/>
        </w:rPr>
        <w:t>14. Official-source register — reviewed 2026-10-01</w:t>
      </w:r>
    </w:p>
    <w:bookmarkStart w:id="58" w:name="Xcc341331bd053818fdff68d680898b98ce6b93c"/>
    <w:p>
      <w:pPr>
        <w:pStyle w:val="Heading1"/>
        <w:pageBreakBefore/>
      </w:pPr>
      <w:r>
        <w:t xml:space="preserve">TOLVEY — Public Commerce &amp; Private Operations Architecture</w:t>
      </w:r>
    </w:p>
    <w:p>
      <w:pPr>
        <w:pStyle w:val="FirstParagraph"/>
      </w:pPr>
      <w:r>
        <w:t xml:space="preserve">Versi 1.0 — 2026-10-01. Status:</w:t>
      </w:r>
      <w:r>
        <w:t xml:space="preserve"> </w:t>
      </w:r>
      <w:r>
        <w:rPr>
          <w:b/>
          <w:bCs/>
        </w:rPr>
        <w:t xml:space="preserve">spesifikasi target dan rekomendasi</w:t>
      </w:r>
      <w:r>
        <w:t xml:space="preserve">, bukan implementasi baru, sertifikasi enterprise, atau commerce production yang sudah aktif.</w:t>
      </w:r>
    </w:p>
    <w:p>
      <w:pPr>
        <w:pStyle w:val="BodyText"/>
      </w:pPr>
      <w:r>
        <w:t xml:space="preserve">Baseline dokumentasi:</w:t>
      </w:r>
      <w:r>
        <w:t xml:space="preserve"> </w:t>
      </w:r>
      <w:r>
        <w:rPr>
          <w:rStyle w:val="VerbatimChar"/>
        </w:rPr>
        <w:t xml:space="preserve">bed6200ceb3fda039468b3876888537a253342a4</w:t>
      </w:r>
      <w:r>
        <w:t xml:space="preserve">. Last deployed code:</w:t>
      </w:r>
      <w:r>
        <w:t xml:space="preserve"> </w:t>
      </w:r>
      <w:r>
        <w:rPr>
          <w:rStyle w:val="VerbatimChar"/>
        </w:rPr>
        <w:t xml:space="preserve">d73a4dfba04c8207f2b5f440e0052840cefdfc3d</w:t>
      </w:r>
      <w:r>
        <w:t xml:space="preserve">. Repo:</w:t>
      </w:r>
      <w:r>
        <w:t xml:space="preserve"> </w:t>
      </w:r>
      <w:hyperlink r:id="rId20">
        <w:r>
          <w:rPr>
            <w:rStyle w:val="Hyperlink"/>
          </w:rPr>
          <w:t xml:space="preserve">https://github.com/Sparkmind-obp-off/Tolvey</w:t>
        </w:r>
      </w:hyperlink>
      <w:r>
        <w:t xml:space="preserve">, branch main, workspace /home/user/webapp.</w:t>
      </w:r>
    </w:p>
    <w:bookmarkStart w:id="21" w:name="ringkasan-keputusan"/>
    <w:p>
      <w:pPr>
        <w:pStyle w:val="Heading2"/>
      </w:pPr>
      <w:r>
        <w:t xml:space="preserve">Ringkasan keputusan</w:t>
      </w:r>
    </w:p>
    <w:p>
      <w:pPr>
        <w:pStyle w:val="FirstParagraph"/>
      </w:pPr>
      <w:r>
        <w:t xml:space="preserve">TOLVEY dibangun sebagai</w:t>
      </w:r>
      <w:r>
        <w:t xml:space="preserve"> </w:t>
      </w:r>
      <w:r>
        <w:rPr>
          <w:b/>
          <w:bCs/>
        </w:rPr>
        <w:t xml:space="preserve">platform commerce publik milik TOLVEY, didukung control plane operasi privat</w:t>
      </w:r>
      <w:r>
        <w:t xml:space="preserve">, bukan satu dashboard internal yang diberi tombol beli, dan bukan marketplace multi-vendor V1.</w:t>
      </w:r>
    </w:p>
    <w:p>
      <w:pPr>
        <w:pStyle w:val="BodyText"/>
      </w:pPr>
      <w:r>
        <w:t xml:space="preserve">Pisahkan pengalaman dan privilege,</w:t>
      </w:r>
      <w:r>
        <w:t xml:space="preserve"> </w:t>
      </w:r>
      <w:r>
        <w:rPr>
          <w:b/>
          <w:bCs/>
        </w:rPr>
        <w:t xml:space="preserve">jangan menggandakan product/order truth</w:t>
      </w:r>
      <w:r>
        <w:t xml:space="preserve">. Pilihan awal: modular Hono/TypeScript pada Cloudflare Pages, D1 canonical, private R2 untuk aset, Duitku POP sebagai adapter. Tambahkan identity operator, customer ownership/recovery, transactional email dan monitoring sesuai gate; bukan mengganti semuanya dengan framework/provider baru.</w:t>
      </w:r>
    </w:p>
    <w:p>
      <w:pPr>
        <w:pStyle w:val="BodyText"/>
      </w:pPr>
      <w:r>
        <w:t xml:space="preserve">Arsitektur memiliki dua lapisan bisnis besar dengan beberapa trust surface: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commerce layer:</w:t>
      </w:r>
      <w:r>
        <w:t xml:space="preserve"> </w:t>
      </w:r>
      <w:r>
        <w:t xml:space="preserve">public storefront + protected customer experience + machine-facing provider ingress.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Private/internal layer:</w:t>
      </w:r>
      <w:r>
        <w:t xml:space="preserve"> </w:t>
      </w:r>
      <w:r>
        <w:t xml:space="preserve">operations console + domain commands + distribution/demand control + monitoring/reconciliation + future durable workers.</w:t>
      </w:r>
    </w:p>
    <w:p>
      <w:pPr>
        <w:pStyle w:val="FirstParagraph"/>
      </w:pPr>
      <w:r>
        <w:t xml:space="preserve">Public-facing tidak sama dengan anonymous access. Customer area adalah pengalaman publik untuk pelanggan, tetapi records/order/download tetap privat per pelanggan. Provider callback terbuka secara jaringan namun hanya boleh mengubah truth setelah autentikasi provider dan validasi domain.</w:t>
      </w:r>
    </w:p>
    <w:p>
      <w:pPr>
        <w:pStyle w:val="BodyText"/>
      </w:pPr>
      <w:r>
        <w:t xml:space="preserve">Tiga engine tetap</w:t>
      </w:r>
      <w:r>
        <w:t xml:space="preserve"> </w:t>
      </w:r>
      <w:r>
        <w:rPr>
          <w:b/>
          <w:bCs/>
        </w:rPr>
        <w:t xml:space="preserve">Own Commerce, Distribution, Brand/Demand</w:t>
      </w:r>
      <w:r>
        <w:t xml:space="preserve">. Pemisahan public/private adalah dimensi akses, bukan pengganti tiga engine atau offering tiers free/digital/services. Money Kit tetap hipotesis. Strategi:</w:t>
      </w:r>
      <w:r>
        <w:t xml:space="preserve"> </w:t>
      </w:r>
      <w:r>
        <w:rPr>
          <w:b/>
          <w:bCs/>
        </w:rPr>
        <w:t xml:space="preserve">ONE PRODUCT, MANY DOORS</w:t>
      </w:r>
      <w:r>
        <w:t xml:space="preserve">.</w:t>
      </w:r>
    </w:p>
    <w:bookmarkEnd w:id="21"/>
    <w:bookmarkStart w:id="22" w:name="X2354eccabe508dd10c1758e320a98dd2fd03eb9"/>
    <w:p>
      <w:pPr>
        <w:pStyle w:val="Heading2"/>
      </w:pPr>
      <w:r>
        <w:t xml:space="preserve">1. Arti own shop yang resmi</w:t>
      </w:r>
    </w:p>
    <w:p>
      <w:pPr>
        <w:pStyle w:val="FirstParagraph"/>
      </w:pPr>
      <w:r>
        <w:t xml:space="preserve">Ada tiga jenis kesiapan yang perlu dibedakan: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Identitas owned commerce:</w:t>
      </w:r>
      <w:r>
        <w:t xml:space="preserve"> </w:t>
      </w:r>
      <w:r>
        <w:t xml:space="preserve">domain yang dikendalikan pemilik, identitas penjual/support yang benar, produk/terms yang jujur, checkout yang konsisten, customer receipt/status dan delivery.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engineering:</w:t>
      </w:r>
      <w:r>
        <w:t xml:space="preserve"> </w:t>
      </w:r>
      <w:r>
        <w:t xml:space="preserve">authorization, money integrity, private delivery, kegagalan/retry, operational visibility, monitoring, release/recovery dan environment separation yang terbukti.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Legal/business readiness Indonesia:</w:t>
      </w:r>
      <w:r>
        <w:t xml:space="preserve"> </w:t>
      </w:r>
      <w:r>
        <w:t xml:space="preserve">pemilik menentukan identitas/bentuk usaha, perizinan yang relevan, pajak, PSE/PMSE, consumer obligations dan PDP dengan bukti/proses yang sesuai. Desain software bukan surat izin atau penilaian hukum final.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tolvey.biz.id</w:t>
      </w:r>
      <w:r>
        <w:t xml:space="preserve"> </w:t>
      </w:r>
      <w:r>
        <w:t xml:space="preserve">belum dikonfigurasi. Tidak ada registrasi PSE/perizinan/sertifikasi compliance yang diverifikasi dalam sesi ini. Public storefront TOLVEY</w:t>
      </w:r>
      <w:r>
        <w:t xml:space="preserve"> </w:t>
      </w:r>
      <w:r>
        <w:rPr>
          <w:b/>
          <w:bCs/>
        </w:rPr>
        <w:t xml:space="preserve">tidak berarti PSE Lingkup Publik dalam terminologi hukum</w:t>
      </w:r>
      <w:r>
        <w:t xml:space="preserve">; platform usaha yang dapat diakses masyarakat dapat termasuk PSE Lingkup Privat. Jangan menyamakan public UI dengan klasifikasi lembaga publik [S8].</w:t>
      </w:r>
    </w:p>
    <w:bookmarkEnd w:id="22"/>
    <w:bookmarkStart w:id="25" w:name="Xb35d44381e206b22ac19f90073d0e21f870b218"/>
    <w:p>
      <w:pPr>
        <w:pStyle w:val="Heading2"/>
      </w:pPr>
      <w:r>
        <w:t xml:space="preserve">2. Trust surfaces dan topologi</w:t>
      </w:r>
    </w:p>
    <w:bookmarkStart w:id="23" w:name="model-logis"/>
    <w:p>
      <w:pPr>
        <w:pStyle w:val="Heading3"/>
      </w:pPr>
      <w:r>
        <w:t xml:space="preserve">Model logis</w:t>
      </w:r>
    </w:p>
    <w:p>
      <w:pPr>
        <w:pStyle w:val="SourceCode"/>
      </w:pPr>
      <w:r>
        <w:rPr>
          <w:rStyle w:val="VerbatimChar"/>
        </w:rPr>
        <w:t xml:space="preserve">Traffic: social / personal brand / search / approved ads / external listings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Public TOLVEY storefront --&gt; Protected customer checkout/order/access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  |                                 Commerce commands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  +--&gt; Approved external checkout --&gt; Verified external intake (future)</w:t>
      </w:r>
      <w:r>
        <w:br/>
      </w:r>
      <w:r>
        <w:rPr>
          <w:rStyle w:val="VerbatimChar"/>
        </w:rPr>
        <w:t xml:space="preserve">                                           |</w:t>
      </w:r>
      <w:r>
        <w:br/>
      </w:r>
      <w:r>
        <w:rPr>
          <w:rStyle w:val="VerbatimChar"/>
        </w:rPr>
        <w:t xml:space="preserve">Operator --&gt; Private Ops (verified identity + permissions)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Shared canonical domain/services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D1 catalog / snapshots / receipts / events / entitlements (future)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Private versioned R2 assets (future)</w:t>
      </w:r>
      <w:r>
        <w:br/>
      </w:r>
      <w:r>
        <w:br/>
      </w:r>
      <w:r>
        <w:rPr>
          <w:rStyle w:val="VerbatimChar"/>
        </w:rPr>
        <w:t xml:space="preserve">Duitku callback --&gt; Provider-authenticated ingress --&gt; Canonical transition</w:t>
      </w:r>
      <w:r>
        <w:br/>
      </w:r>
      <w:r>
        <w:rPr>
          <w:rStyle w:val="VerbatimChar"/>
        </w:rPr>
        <w:t xml:space="preserve">Side effects   --&gt; Durable receipt/outbox (when implemented) --&gt; email / worker</w:t>
      </w:r>
      <w:r>
        <w:br/>
      </w:r>
      <w:r>
        <w:rPr>
          <w:rStyle w:val="VerbatimChar"/>
        </w:rPr>
        <w:t xml:space="preserve">Telemetry      --&gt; Restricted operations signals; never financial source of truth</w:t>
      </w:r>
    </w:p>
    <w:bookmarkEnd w:id="23"/>
    <w:bookmarkStart w:id="24" w:name="Xae873bfd01b602142b5b30f5f1333e930bffe9c"/>
    <w:p>
      <w:pPr>
        <w:pStyle w:val="Heading3"/>
      </w:pPr>
      <w:r>
        <w:t xml:space="preserve">Host/path strategy — target, bukan DNS/routes live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Surface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Target contoh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Akses dan tujuan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Storefront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tolvey.biz.id, /products, /services, /help, /policies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Anonymous curated content dan active catalog; endpoint names perlu finalisasi saat build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Customer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same origin /checkout, /orders, /access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Session/ownership-protected; no general admin rights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Internal awal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/ops dan API ops namespace pada deployment yang sama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Cloudflare Access BYOK + verified identity + app permissions; fail closed pada semua origin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Internal terpisah kelak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ops.tolvey.biz.id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Optional isolation saat kompleksitas/team membenarkan; bukan proyek baru wajib sekarang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Provider ingress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existing /api/provider/duitku-pop/callback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Tidak diberi operator login/Turnstile; tetap provider signature/context verification; production masih disabled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Assets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private R2 binding, bukan public download bucket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Stream melalui authorized entitlement; public preview terpisah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External channel links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Destination registry yang di-review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Allowed origin/listing; bukan arbitrary URL redirect</w:t>
            </w:r>
          </w:p>
        </w:tc>
      </w:tr>
    </w:tbl>
    <w:p>
      <w:pPr>
        <w:pStyle w:val="BodyText"/>
      </w:pPr>
      <w:r>
        <w:t xml:space="preserve">Mulai</w:t>
      </w:r>
      <w:r>
        <w:t xml:space="preserve"> </w:t>
      </w:r>
      <w:r>
        <w:rPr>
          <w:b/>
          <w:bCs/>
        </w:rPr>
        <w:t xml:space="preserve">satu deployment modular dengan namespace terpisah</w:t>
      </w:r>
      <w:r>
        <w:t xml:space="preserve">, paling hemat integrasi. Itu pemisahan logis, bukan blast-radius isolation penuh: satu kompromi runtime dengan D1 binding tetap berisiko luas. Jika ops dipisah deployment, public Pages project existing tetap canonical; internal Worker adalah komponen beralasan, bukan random replacement project. Setiap komponen baru, domain, binding dan deploy perlu authorization tersendiri.</w:t>
      </w:r>
    </w:p>
    <w:p>
      <w:pPr>
        <w:pStyle w:val="BodyText"/>
      </w:pPr>
      <w:r>
        <w:t xml:space="preserve">Tolak unknown Host untuk protected surfaces, audit Pages default/immutable/preview origins dan path normalization. UI tersembunyi/noindex bukan security. Direct pages.dev tidak boleh menjadi bypass ops/customer auth. Jangan hanya melindungi ops subdomain sementara API yang sama masih anonim di domain publik. Customer cookie host-only, Secure/HttpOnly/SameSite; jangan share cookie ke seluruh subdomain. Credential di URL/query dilarang.</w:t>
      </w:r>
    </w:p>
    <w:bookmarkEnd w:id="24"/>
    <w:bookmarkEnd w:id="25"/>
    <w:bookmarkStart w:id="28" w:name="Xbf851141e3529ea4d60561b37a7595f2d2c2535"/>
    <w:p>
      <w:pPr>
        <w:pStyle w:val="Heading2"/>
      </w:pPr>
      <w:r>
        <w:t xml:space="preserve">3. Public commerce layer</w:t>
      </w:r>
    </w:p>
    <w:bookmarkStart w:id="26" w:name="minimum-customer-facing-product"/>
    <w:p>
      <w:pPr>
        <w:pStyle w:val="Heading3"/>
      </w:pPr>
      <w:r>
        <w:t xml:space="preserve">Minimum customer-facing product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Kemampuan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Minimum launch requirement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Deferred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Brand home/shop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Identitas TOLVEY, manfaat, katalog active dan CTA jelas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Banyak layout/campaign page tanpa offer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Product detail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Buyer/job, contents, preview, format/compatibility, pinned version, license, authoritative Offer price dan limitations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Reviews hanya jika genuine; bundles setelah grant rules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Services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Capability, scope boundaries, inquiry/support path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Instant purchase untuk bespoke scope yang belum pasti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Checkout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One offer/order, quantity 1, canonical IDR, minimum contact/policy acceptance, ownership, stable idempotency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Cart, coupons, subscription/affiliate engine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Payment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Server initiation/reservation, trusted provider redirect, verified callback/status; no browser-paid flag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Popup/custom method UI bukan gate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Order/status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Pending/confirmed/delivery issue/expired states untuk pemilik order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Public UUID lookup atau client status override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Access/delivery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Payment-gated entitlement ke immutable version, private stream, safe retry/support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Customer library lintas perangkat hanya setelah recovery/identity siap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Help/trust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Real seller/support contact, terms/license/refund/cancellation/privacy, delivery promise sesuai kemampuan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Fake badges, testimonials atau generic legal templates dianggap approval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Receipt/communication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Safe purchase summary/status; email bila menjanjikan recovery/notification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Delivered email bukan payment/delivery proof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Discovery/SEO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Canonical URLs, published sitemap, honest structured data, titles/social previews, archive/404 behavior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SEO mass generation tanpa useful content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Performance/accessibility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Semantic SSR, mobile/keyboard/labels/focus/errors, small JS dan assets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Heavy SPA hanya demi dashboard-look</w:t>
            </w:r>
          </w:p>
        </w:tc>
      </w:tr>
    </w:tbl>
    <w:p>
      <w:pPr>
        <w:pStyle w:val="BodyText"/>
      </w:pPr>
      <w:r>
        <w:t xml:space="preserve">Search/filter catalog hanya bila cukup item; satu produk tidak membutuhkan search engine. Initial free product bisa memakai grant/download terpisah; tidak perlu fake payment Rp0. Structured data tidak boleh mengarang rating, stock, sold count atau sale price. Paid assets tidak pernah masuk /public/static.</w:t>
      </w:r>
    </w:p>
    <w:bookmarkEnd w:id="26"/>
    <w:bookmarkStart w:id="27" w:name="customer-isolation"/>
    <w:p>
      <w:pPr>
        <w:pStyle w:val="Heading3"/>
      </w:pPr>
      <w:r>
        <w:t xml:space="preserve">Customer isolation</w:t>
      </w:r>
    </w:p>
    <w:p>
      <w:pPr>
        <w:pStyle w:val="FirstParagraph"/>
      </w:pPr>
      <w:r>
        <w:t xml:space="preserve">Guest-first scoped session cukup untuk first loop; tidak wajib membangun social login/member subscription. Server memverifikasi principal → owned order → action pada</w:t>
      </w:r>
      <w:r>
        <w:t xml:space="preserve"> </w:t>
      </w:r>
      <w:r>
        <w:rPr>
          <w:b/>
          <w:bCs/>
        </w:rPr>
        <w:t xml:space="preserve">setiap</w:t>
      </w:r>
      <w:r>
        <w:t xml:space="preserve"> </w:t>
      </w:r>
      <w:r>
        <w:t xml:space="preserve">read/initiate/download/recovery. Order UUID/email bukan credential. Customer recovery membutuhkan verified email flow atau assisted verification yang didokumentasikan dan disetujui; jangan menjanjikan magic link yang belum dibuat.</w:t>
      </w:r>
    </w:p>
    <w:p>
      <w:pPr>
        <w:pStyle w:val="BodyText"/>
      </w:pPr>
      <w:r>
        <w:t xml:space="preserve">Proposal recovery token: random high-entropy, hashed persistence, one-time/expiry/purpose/order bound, issue/use/revoke audit, rate limiting dan non-enumerating response. Hindari secrets pada URL; bila recovery email perlu link token, gunakan deliberate one-time exchange flow dengan referrer/log suppression dan immediate clean redirect, bukan general credential query yang terus dipakai. Pilihan token transport final membutuhkan security review. Cookie mutation memiliki origin/CSRF checks; idempotency scope terikat principal, bukan single-service global key existing.</w:t>
      </w:r>
    </w:p>
    <w:p>
      <w:pPr>
        <w:pStyle w:val="BodyText"/>
      </w:pPr>
      <w:r>
        <w:t xml:space="preserve">Public catalog caching bisa ditambahkan setelah invalidation/publication/version policy terbukti; checkout/status/access/ops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. Public page yang menampilkan catalog cache bukan price authority saat createCheckout. Tidak ada customer data pada cache/CDN HTML publik.</w:t>
      </w:r>
    </w:p>
    <w:bookmarkEnd w:id="27"/>
    <w:bookmarkEnd w:id="28"/>
    <w:bookmarkStart w:id="29" w:name="X78f34235bc5af67dce60d43be6c35bf4e6d99a6"/>
    <w:p>
      <w:pPr>
        <w:pStyle w:val="Heading2"/>
      </w:pPr>
      <w:r>
        <w:t xml:space="preserve">4. Private operations/control plane</w:t>
      </w:r>
    </w:p>
    <w:p>
      <w:pPr>
        <w:pStyle w:val="FirstParagraph"/>
      </w:pPr>
      <w:r>
        <w:t xml:space="preserve">Private layer mengelola operasi bisnis, tidak menjadi landing page pelanggan. Console adalah</w:t>
      </w:r>
      <w:r>
        <w:t xml:space="preserve"> </w:t>
      </w:r>
      <w:r>
        <w:rPr>
          <w:b/>
          <w:bCs/>
        </w:rPr>
        <w:t xml:space="preserve">UI di atas bounded commands dan safe read views</w:t>
      </w:r>
      <w:r>
        <w:t xml:space="preserve">, bukan editor database bebas.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Modul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First useful scope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Data/aksi yang tidak boleh diekspos publik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Product/offer control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Draft, review, validate package, publish/unpublish, version/manifest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Private assets, drafts, publication audit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Commerce operations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Order list/detail, normalized payment/fulfillment, exceptions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Customer contact, provider receipts/references dan operational metadata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Fulfillment/support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Entitlement/access issue, verified recovery, retry dengan stable receipts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Cross-customer grants, operator manual file leak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Reconciliation/finance view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Ambiguous/late/missing callbacks, fees/refund/settlement evidence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Mark-paid tanpa verification, fabricated refund completion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Distribution desk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Channel admission, listing/version/offer mapping, approved links, manual evidence import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Seller credentials, channel-order exports, private costs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Demand/brand desk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Evidence, hypotheses, content briefs/calendar, creatives/campaign/source/destination, experiment results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Customer/lead PII, budgets, private strategy; no fake signal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Service operations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Qualified inquiry, scope/capacity, milestones, deliverables/acceptance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Client-confidential materials; no silent master product mutation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Reliability desk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Incidents, health/config-safe summary, pending job age, failure/alert/runbook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Secret values, raw callbacks/body/logs; no public diagnostics dump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Governance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Principals/permissions, audited changes, export policy, release/migration history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Infrastructure tokens, emergency access/recovery credentials</w:t>
            </w:r>
          </w:p>
        </w:tc>
      </w:tr>
    </w:tbl>
    <w:p>
      <w:pPr>
        <w:pStyle w:val="BodyText"/>
      </w:pPr>
      <w:r>
        <w:t xml:space="preserve">Launch first: narrow publication workflow + order/exceptions/support view. Demand/distribution desk mula-mula structured records + manual operations; tidak wajib membangun scheduler/content automation agar produk dapat dijual.</w:t>
      </w:r>
    </w:p>
    <w:p>
      <w:pPr>
        <w:pStyle w:val="BodyText"/>
      </w:pPr>
      <w:r>
        <w:t xml:space="preserve">Data D1 yang diusulkan: operator principals/permissions, publication audit, session/contact/policy, asset manifests, entitlements, exception/support cases, channel/listing/external origins, campaign/demand experiments dan notification/outbox receipts</w:t>
      </w:r>
      <w:r>
        <w:t xml:space="preserve"> </w:t>
      </w:r>
      <w:r>
        <w:rPr>
          <w:b/>
          <w:bCs/>
        </w:rPr>
        <w:t xml:space="preserve">hanya saat capability membutuhkan</w:t>
      </w:r>
      <w:r>
        <w:t xml:space="preserve">. Ini belum tabel implemented. Tidak perlu CRM lengkap, financial ledger lengkap atau project-management suite V1.</w:t>
      </w:r>
    </w:p>
    <w:bookmarkEnd w:id="29"/>
    <w:bookmarkStart w:id="31" w:name="X7555b926b4d68b932f4aef7cd631b3c504363e9"/>
    <w:p>
      <w:pPr>
        <w:pStyle w:val="Heading2"/>
      </w:pPr>
      <w:r>
        <w:t xml:space="preserve">5. Distribution/demand: internal control, public outputs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Engine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Internal work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Public/output work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Own Commerce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Product/version/offer approval, operations, support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Official product/service pages, supported checkout and customer delivery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Distribution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Policy/account/fees review, listing mapping, import/reconcile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External listing, storefront link, external checkout/delivery yang diizinkan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Brand/Demand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Evidence/experiment, content plan, personal-brand relationship, attribution/spend review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Social posts, product demos, search content, approved ads/landing links</w:t>
            </w:r>
          </w:p>
        </w:tc>
      </w:tr>
    </w:tbl>
    <w:p>
      <w:pPr>
        <w:pStyle w:val="BodyText"/>
      </w:pPr>
      <w:r>
        <w:t xml:space="preserve">Menyimpan planning secara internal tidak membuat traffic/listings tersembunyi. Traffic masuk ke own shop atau eligible external checkout. Return/status/customer links berbeda dari campaign links: payment/order references tidak diselipkan sebagai UTM analytics.</w:t>
      </w:r>
    </w:p>
    <w:bookmarkStart w:id="30" w:name="outbound-traffic-contract"/>
    <w:p>
      <w:pPr>
        <w:pStyle w:val="Heading3"/>
      </w:pPr>
      <w:r>
        <w:t xml:space="preserve">Outbound traffic contract</w:t>
      </w:r>
    </w:p>
    <w:p>
      <w:pPr>
        <w:pStyle w:val="Compact"/>
        <w:numPr>
          <w:ilvl w:val="0"/>
          <w:numId w:val="1003"/>
        </w:numPr>
      </w:pPr>
      <w:r>
        <w:t xml:space="preserve">Default: approved direct links yang clearly labeled sebagai external purchase/support; tidak perlu redirect service untuk semua klik.</w:t>
      </w:r>
    </w:p>
    <w:p>
      <w:pPr>
        <w:pStyle w:val="Compact"/>
        <w:numPr>
          <w:ilvl w:val="0"/>
          <w:numId w:val="1003"/>
        </w:numPr>
      </w:pPr>
      <w:r>
        <w:t xml:space="preserve">Bila click-out tracking diperlukan, public route menerima opaque approved destination ID, bukan caller-supplied URL. Registry mencatat channel/listing/product/version, allowlisted HTTPS destination, owner dan policy review.</w:t>
      </w:r>
    </w:p>
    <w:p>
      <w:pPr>
        <w:pStyle w:val="Compact"/>
        <w:numPr>
          <w:ilvl w:val="0"/>
          <w:numId w:val="1003"/>
        </w:numPr>
      </w:pPr>
      <w:r>
        <w:t xml:space="preserve">Reject arbitrary next/redirect URL, localhost/private IP/userinfo/scheme/host mismatch dan disabled destination. No open redirect, no automatic attachment of email/order/session/token.</w:t>
      </w:r>
    </w:p>
    <w:p>
      <w:pPr>
        <w:pStyle w:val="Compact"/>
        <w:numPr>
          <w:ilvl w:val="0"/>
          <w:numId w:val="1003"/>
        </w:numPr>
      </w:pPr>
      <w:r>
        <w:t xml:space="preserve">Capture bounded source/campaign/destination fact sesuai privacy policy; record click ≠ external checkout/payment. Adblock/missing attribution tetap UNKNOWN.</w:t>
      </w:r>
    </w:p>
    <w:p>
      <w:pPr>
        <w:pStyle w:val="Compact"/>
        <w:numPr>
          <w:ilvl w:val="0"/>
          <w:numId w:val="1003"/>
        </w:numPr>
      </w:pPr>
      <w:r>
        <w:t xml:space="preserve">Jika registry/telemetry gagal, jangan mengganggu paid order/access. Hanya gunakan fallback destination yang already approved; tidak mengalihkan trafik ke channel acak.</w:t>
      </w:r>
    </w:p>
    <w:p>
      <w:pPr>
        <w:pStyle w:val="Compact"/>
        <w:numPr>
          <w:ilvl w:val="0"/>
          <w:numId w:val="1003"/>
        </w:numPr>
      </w:pPr>
      <w:r>
        <w:t xml:space="preserve">External sales intake future memakai unique</w:t>
      </w:r>
      <w:r>
        <w:t xml:space="preserve"> </w:t>
      </w:r>
      <w:r>
        <w:rPr>
          <w:rStyle w:val="VerbatimChar"/>
        </w:rPr>
        <w:t xml:space="preserve">(channel, external_order_id)</w:t>
      </w:r>
      <w:r>
        <w:t xml:space="preserve">, verified evidence dan canonical mapping. Jangan membuat own-shop CheckoutSession atau Duitku invoice untuk external payment.</w:t>
      </w:r>
    </w:p>
    <w:p>
      <w:pPr>
        <w:pStyle w:val="Compact"/>
        <w:numPr>
          <w:ilvl w:val="0"/>
          <w:numId w:val="1003"/>
        </w:numPr>
      </w:pPr>
      <w:r>
        <w:t xml:space="preserve">Indonesia TikTok Shop saat ini tidak mendukung virtual products/services; TikTok content tetap demand channel bila aturan promosi/link mengizinkan (docs/32). No fake physical shipment/policy evasion.</w:t>
      </w:r>
    </w:p>
    <w:p>
      <w:pPr>
        <w:pStyle w:val="FirstParagraph"/>
      </w:pPr>
      <w:r>
        <w:t xml:space="preserve">Public marketing boleh mulai dengan produk/preview yang jujur dan CTA inquiry/unavailable. Paid CTA dan ads conversion claims menunggu purchase/delivery gates serta spend approval.</w:t>
      </w:r>
    </w:p>
    <w:bookmarkEnd w:id="30"/>
    <w:bookmarkEnd w:id="31"/>
    <w:bookmarkStart w:id="34" w:name="X1dfad36646320bb5ca73673c14383391670ec56"/>
    <w:p>
      <w:pPr>
        <w:pStyle w:val="Heading2"/>
      </w:pPr>
      <w:r>
        <w:t xml:space="preserve">6. Identity, authorization dan action safety</w:t>
      </w:r>
    </w:p>
    <w:bookmarkStart w:id="32" w:name="operator-identity-recommendation"/>
    <w:p>
      <w:pPr>
        <w:pStyle w:val="Heading3"/>
      </w:pPr>
      <w:r>
        <w:t xml:space="preserve">Operator identity recommendation</w:t>
      </w:r>
    </w:p>
    <w:p>
      <w:pPr>
        <w:pStyle w:val="FirstParagraph"/>
      </w:pPr>
      <w:r>
        <w:t xml:space="preserve">Gunakan</w:t>
      </w:r>
      <w:r>
        <w:t xml:space="preserve"> </w:t>
      </w:r>
      <w:r>
        <w:rPr>
          <w:b/>
          <w:bCs/>
        </w:rPr>
        <w:t xml:space="preserve">Cloudflare Access pada owner-account BYOK</w:t>
      </w:r>
      <w:r>
        <w:t xml:space="preserve"> </w:t>
      </w:r>
      <w:r>
        <w:t xml:space="preserve">untuk boundary internal, dengan IdP yang bisa menegakkan MFA, explicit allowlist, short sessions dan recovery/offboarding. Ini rekomendasi, bukan Access configured atau account entitlement verified.</w:t>
      </w:r>
    </w:p>
    <w:p>
      <w:pPr>
        <w:pStyle w:val="BodyText"/>
      </w:pPr>
      <w:r>
        <w:t xml:space="preserve">Backend tetap memverifikasi signed</w:t>
      </w:r>
      <w:r>
        <w:t xml:space="preserve"> </w:t>
      </w:r>
      <w:r>
        <w:rPr>
          <w:rStyle w:val="VerbatimChar"/>
        </w:rPr>
        <w:t xml:space="preserve">Cf-Access-Jwt-Assertion</w:t>
      </w:r>
      <w:r>
        <w:t xml:space="preserve">: fixed trusted issuer/JWKS URL, allowed algorithm, expected audience, signature, expiry dan identity → enabled principal/permissions. Jangan trust email header, decode-only JWT, request-defined issuer/JWKS, atau cookie presence. Cache public keys bounded; refresh rotation; invalid/unknown key/config deny. Existing diagnostic operator bearer tetap server-only diagnostic, bukan ops login [S1].</w:t>
      </w:r>
    </w:p>
    <w:p>
      <w:pPr>
        <w:pStyle w:val="BodyText"/>
      </w:pPr>
      <w:r>
        <w:rPr>
          <w:b/>
          <w:bCs/>
        </w:rPr>
        <w:t xml:space="preserve">BYOK Access identity dan app record/action authorization adalah berbeda dari Genspark Hosted route-admission descriptor.</w:t>
      </w:r>
      <w:r>
        <w:t xml:space="preserve"> </w:t>
      </w:r>
      <w:r>
        <w:t xml:space="preserve">Project ini tidak berpindah ke Hosted atau mengubah descriptor. Jika deployment path nanti berubah, route admission mengikuti mekanisme platform; jangan menirunya dengan frontend JavaScript.</w:t>
      </w:r>
    </w:p>
    <w:bookmarkEnd w:id="32"/>
    <w:bookmarkStart w:id="33" w:name="proposed-permissions--deny-by-default"/>
    <w:p>
      <w:pPr>
        <w:pStyle w:val="Heading3"/>
      </w:pPr>
      <w:r>
        <w:t xml:space="preserve">Proposed permissions — deny by default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Principal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Allowed scope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Explicit denial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Anonymous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Published public catalog/help, approved external destinations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Draft/order/contact/asset/ops/diagnostics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Customer session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Own checkout/order/access/support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Other orders; publication; finance/ops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Product operator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Product drafts/package QA, submit review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Mark-paid/refund, other customer exports, infra tokens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Support operator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Minimum related order/contact, verified recovery/request refund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Bulk finance export, product prices, unrestricted grants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Commerce/finance reviewer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Reconcile verified payment/refund/settlement evidence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Arbitrary paid flag, unreviewed external invoice re-initiation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Growth operator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Approved listings/campaigns/aggregate evidence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Provider secrets/individual purchase access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Owner/release operator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Approved publication/permissions/release decisions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Bypassing provider evidence or unrecorded destructive SQL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Service principal / consumer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Named bounded job/command with scoped credentials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General operator/customer capability</w:t>
            </w:r>
          </w:p>
        </w:tc>
      </w:tr>
    </w:tbl>
    <w:p>
      <w:pPr>
        <w:pStyle w:val="BodyText"/>
      </w:pPr>
      <w:r>
        <w:t xml:space="preserve">Initial one founder can hold several permissions; audit records actual actor. Two-person review is optional until another authorized reviewer exists; never claim separation of duties when one person approves themselves. High-risk changes use explicit confirmation/reason/current revision, step-up identity when available, preview/dry-run and immutable receipt. Offboarding disables principal independent of still-valid JWT; cached sessions must not override revocation indefinitely.</w:t>
      </w:r>
    </w:p>
    <w:p>
      <w:pPr>
        <w:pStyle w:val="BodyText"/>
      </w:pPr>
      <w:r>
        <w:t xml:space="preserve">Customer vs operator vs service auth are separate contexts. CSRF/origin controls still apply to cookie/browser commands behind Access. Machine callback never requires customer/operator cookie or human CAPTCHA. Provider signature/context/state validation and bounded abuse controls remain mandatory.</w:t>
      </w:r>
    </w:p>
    <w:bookmarkEnd w:id="33"/>
    <w:bookmarkEnd w:id="34"/>
    <w:bookmarkStart w:id="36" w:name="X9dd9b3fad7e3293dc0d888cd93dd9d5a024546d"/>
    <w:p>
      <w:pPr>
        <w:pStyle w:val="Heading2"/>
      </w:pPr>
      <w:r>
        <w:t xml:space="preserve">7. Canonical services and orchestration</w:t>
      </w:r>
    </w:p>
    <w:p>
      <w:pPr>
        <w:pStyle w:val="FirstParagraph"/>
      </w:pPr>
      <w:r>
        <w:t xml:space="preserve">Initial architecture remains</w:t>
      </w:r>
      <w:r>
        <w:t xml:space="preserve"> </w:t>
      </w:r>
      <w:r>
        <w:rPr>
          <w:b/>
          <w:bCs/>
        </w:rPr>
        <w:t xml:space="preserve">modular application</w:t>
      </w:r>
      <w:r>
        <w:t xml:space="preserve">: public/customer/ops handlers call the same narrow domain services. Domain layer owns publication and transaction rules; D1 atomic batch/CAS/immutable receipt preserves truth. No browser direct D1/R2/provider-secret access, no arbitrary state patch.</w:t>
      </w:r>
    </w:p>
    <w:p>
      <w:pPr>
        <w:pStyle w:val="BodyText"/>
      </w:pPr>
      <w:r>
        <w:t xml:space="preserve">Potential module boundaries: catalog/publication, customer session, checkout/payment gateway, fulfillment/access, support/exceptions, external intake, growth records and reporting. Share reviewed domain contracts; not an independent product/payment model per UI.</w:t>
      </w:r>
    </w:p>
    <w:p>
      <w:pPr>
        <w:pStyle w:val="BodyText"/>
      </w:pPr>
      <w:r>
        <w:t xml:space="preserve">If internal UI becomes a separate Worker, use a verified scoped service boundary to canonical commands. A service binding removes public Internet ingress need but is not a substitute for caller/action authorization. Avoid independent raw table writes by separate public/ops applications. D1 bindings are not fine-grained row-role credentials; logical permissions in one runtime do not provide database-level blast-radius isolation [S2].</w:t>
      </w:r>
    </w:p>
    <w:bookmarkStart w:id="35" w:name="X3c89ab452dc794e07924d107392227df05807de"/>
    <w:p>
      <w:pPr>
        <w:pStyle w:val="Heading3"/>
      </w:pPr>
      <w:r>
        <w:t xml:space="preserve">Durable work without premature automation</w:t>
      </w:r>
    </w:p>
    <w:p>
      <w:pPr>
        <w:pStyle w:val="Compact"/>
        <w:numPr>
          <w:ilvl w:val="0"/>
          <w:numId w:val="1004"/>
        </w:numPr>
      </w:pPr>
      <w:r>
        <w:t xml:space="preserve">Initially: synchronous canonical commit + operator-visible exception + explicit reconcile action is enough for low volume. No fire-and-forget email/payment side effect.</w:t>
      </w:r>
    </w:p>
    <w:p>
      <w:pPr>
        <w:pStyle w:val="Compact"/>
        <w:numPr>
          <w:ilvl w:val="0"/>
          <w:numId w:val="1004"/>
        </w:numPr>
      </w:pPr>
      <w:r>
        <w:t xml:space="preserve">When reliable email/retries become necessary: persist durable outbox intent</w:t>
      </w:r>
      <w:r>
        <w:t xml:space="preserve"> </w:t>
      </w:r>
      <w:r>
        <w:rPr>
          <w:b/>
          <w:bCs/>
        </w:rPr>
        <w:t xml:space="preserve">in the same canonical batch</w:t>
      </w:r>
      <w:r>
        <w:t xml:space="preserve"> </w:t>
      </w:r>
      <w:r>
        <w:t xml:space="preserve">as triggering event; stable event/job ID, command version, minimal reference, status/attempt/time. Job claims bounded lease/CAS; actual send/outcome uses durable receipt. No raw customer PII/secrets in queue payload.</w:t>
      </w:r>
    </w:p>
    <w:p>
      <w:pPr>
        <w:pStyle w:val="Compact"/>
        <w:numPr>
          <w:ilvl w:val="0"/>
          <w:numId w:val="1004"/>
        </w:numPr>
      </w:pPr>
      <w:r>
        <w:t xml:space="preserve">An explicitly operated drain can start first; if promised timing cannot rely on manual drain, a scheduled/queue worker becomes a release dependency, not endlessly deferred.</w:t>
      </w:r>
    </w:p>
    <w:p>
      <w:pPr>
        <w:pStyle w:val="Compact"/>
        <w:numPr>
          <w:ilvl w:val="0"/>
          <w:numId w:val="1004"/>
        </w:numPr>
      </w:pPr>
      <w:r>
        <w:t xml:space="preserve">With Cloudflare Queues, delivery is at least once; dedup, bounded retry/backoff, DLQ, replay controls and monitoring required. Pages can produce messages but needs separate consumer Worker [S2/S3]. No queue exactly-once claim.</w:t>
      </w:r>
    </w:p>
    <w:p>
      <w:pPr>
        <w:pStyle w:val="Compact"/>
        <w:numPr>
          <w:ilvl w:val="0"/>
          <w:numId w:val="1004"/>
        </w:numPr>
      </w:pPr>
      <w:r>
        <w:t xml:space="preserve">Automatic retries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ambiguous RESERVED invoice creation. Provider reconciliation precedes a reviewed recovery action. Retrying notification send is not permission to create another invoice.</w:t>
      </w:r>
    </w:p>
    <w:p>
      <w:pPr>
        <w:pStyle w:val="Compact"/>
        <w:numPr>
          <w:ilvl w:val="0"/>
          <w:numId w:val="1004"/>
        </w:numPr>
      </w:pPr>
      <w:r>
        <w:t xml:space="preserve">Cloudflare Workflows is a later candidate for genuinely durable multi-step/human approvals, not needed just to display a dashboard. Workflows retries do not undo external side effects; command/receipt/idempotency rules still apply [S4].</w:t>
      </w:r>
    </w:p>
    <w:p>
      <w:pPr>
        <w:pStyle w:val="FirstParagraph"/>
      </w:pPr>
      <w:r>
        <w:t xml:space="preserve">Queue/outbox/Workflows/scheduler are target options, not current resources. BYOK supports a reviewed dedicated Worker deployment; existing Pages config cannot blindly host a queue consumer or scheduled handler. No platform Hosted binding compatibility presumed and no Node daemon at runtime.</w:t>
      </w:r>
    </w:p>
    <w:bookmarkEnd w:id="35"/>
    <w:bookmarkEnd w:id="36"/>
    <w:bookmarkStart w:id="38" w:name="X9c9117b411885aecd8e4dc2a54eb0f2e91296f9"/>
    <w:p>
      <w:pPr>
        <w:pStyle w:val="Heading2"/>
      </w:pPr>
      <w:r>
        <w:t xml:space="preserve">8. Stack/provider selection and decision gates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Component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Recommendation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Status / why / adoption gate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Web/API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Keep Hono + TypeScript + existing Pages/Vite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Implemented; enough for SSR storefront/ops. No framework rewrite for enterprise appearance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Canonical database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Keep D1; indexed bounded queries, additive migrations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Implemented foundation/local transaction; production transaction release pending. Measure query/lock/storage limits before considering another DB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Asset storage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Private R2 + D1 version manifest/entitlement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Planned required for own paid file delivery; no paid files public bucket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Payment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Existing Duitku POP adapter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Production connection verified only; actual commerce live gate pending. No second provider solves missing customer/delivery flow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Operator identity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Cloudflare Access + MFA-capable IdP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Proposed launch-critical before ops HTTP writes; account/plan/team ownership/audience config to verify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Customer identity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First-party scoped guest session and verified recovery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Proposed; managed auth optional if customer accounts/library/org needs justify it. Customer login is not operator Access login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Abuse controls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Turnstile server verification when warranted + deployment-compatible rate limits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Required design; test Pages/BYOK support and failure path. Not financial dedup/accounting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Transactional email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bCs/>
                <w:sz w:val="18"/>
              </w:rPr>
              <w:t xml:space="preserve">Resend as preferred candidate</w:t>
            </w:r>
            <w:r>
              <w:rPr>
                <w:rFonts w:ascii="Calibri" w:hAnsi="Calibri"/>
                <w:sz w:val="18"/>
              </w:rPr>
              <w:t xml:space="preserve">, alternatives only if needed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Needed if email recovery/receipts promised; owned verified sender domain/DNS, budget, data processing and API delivery-webhook review before adoption [S5]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Infrastructure telemetry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Pages-compatible logs/tail plus D1 operational exceptions + independent HTTPS monitoring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Launch minimum; verify actual project log/alert/export capability, not assume all Workers features apply to advanced-mode Pages [S6]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Error tracing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Sentry optional after compatibility/privacy proof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Official SDK guidance requires nodejs_compat; current repo deliberately lacks it. No drop-in assumption; review Pages/Hono integration, payload scrubbing and compiled regression first [S7]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Public performance analytics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Cloudflare Web Analytics candidate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RUM/page analytics only, not sales truth. Beacon/CSP and account/domain/config review; business attribution facts remain internal [S10]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Reliable async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D1 durable outbox first; Queue consumer Worker when delivery timing/retries require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Conditional reliability feature with deployment/plan/budget/recovery tests; not speculative content automation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Long-running orchestration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Cloudflare Workflows later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Genuine multi-step/human approvals trigger adoption; no blanket enterprise stack requirement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Customer/growth analytics suite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Defer PostHog/large CRM/BI/CDP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Not researched/selected/provisioned; cannot outrank first canonical loop, privacy and traffic evidence</w:t>
            </w:r>
          </w:p>
        </w:tc>
      </w:tr>
    </w:tbl>
    <w:p>
      <w:pPr>
        <w:pStyle w:val="BodyText"/>
      </w:pPr>
      <w:r>
        <w:t xml:space="preserve">No need for Redis, Kubernetes, self-hosted PostgreSQL, event bus, full ERP, AI agents or heavy commerce framework at current volume. No prohibition on future scale: add only with measured bottleneck, capability owner, security/data processing, full landed cost, environment/testing, rollback and exit/export plan. Do not buy multiple overlapping auth/email/analytics providers.</w:t>
      </w:r>
    </w:p>
    <w:bookmarkStart w:id="37" w:name="budget-and-account-gates"/>
    <w:p>
      <w:pPr>
        <w:pStyle w:val="Heading3"/>
      </w:pPr>
      <w:r>
        <w:t xml:space="preserve">Budget and account gates</w:t>
      </w:r>
    </w:p>
    <w:p>
      <w:pPr>
        <w:pStyle w:val="FirstParagraph"/>
      </w:pPr>
      <w:r>
        <w:t xml:space="preserve">Pricing/quotas vary. No monthly cost or SLA promised without checking actual owner plan. Build a budget worksheet from: Worker requests/CPU, D1 reads/writes/storage, R2 storage/operations, identity seats, email volume, logs/export retention, monitoring, queue/workflow consumption, payment/channel fees and support labor. Founder sets cap/alerts; unknown costs stay unknown.</w:t>
      </w:r>
    </w:p>
    <w:p>
      <w:pPr>
        <w:pStyle w:val="BodyText"/>
      </w:pPr>
      <w:r>
        <w:t xml:space="preserve">Choose account ownership under TOLVEY, least-privilege CI credentials, production/test separation and documented transfer/revocation. Credentials installed only during an authorized implementation/release, never in this concept session. No uploaded-secret read needed here.</w:t>
      </w:r>
    </w:p>
    <w:bookmarkEnd w:id="37"/>
    <w:bookmarkEnd w:id="38"/>
    <w:bookmarkStart w:id="41" w:name="X9ba6902feafa8746f48d8a034060a55046000db"/>
    <w:p>
      <w:pPr>
        <w:pStyle w:val="Heading2"/>
      </w:pPr>
      <w:r>
        <w:t xml:space="preserve">9. Production-grade controls and enterprise evolution</w:t>
      </w:r>
    </w:p>
    <w:p>
      <w:pPr>
        <w:pStyle w:val="FirstParagraph"/>
      </w:pPr>
      <w:r>
        <w:t xml:space="preserve">Production-grade is evidence, not a stack badge. Recommended launch acceptance:</w:t>
      </w:r>
    </w:p>
    <w:p>
      <w:pPr>
        <w:pStyle w:val="Compact"/>
        <w:numPr>
          <w:ilvl w:val="0"/>
          <w:numId w:val="1005"/>
        </w:numPr>
      </w:pPr>
      <w:r>
        <w:t xml:space="preserve">Reviewed threat model: IDOR/cross-customer access, ops origin bypass, CSRF, XSS, open redirect, forged provider event, leaked asset/token, duplicate side effects and excessive exports.</w:t>
      </w:r>
    </w:p>
    <w:p>
      <w:pPr>
        <w:pStyle w:val="Compact"/>
        <w:numPr>
          <w:ilvl w:val="0"/>
          <w:numId w:val="1005"/>
        </w:numPr>
      </w:pPr>
      <w:r>
        <w:t xml:space="preserve">Record/action permissions, MFA-backed ops identity, session lifecycle/recovery, immutable audit and bounded input/query/PII.</w:t>
      </w:r>
    </w:p>
    <w:p>
      <w:pPr>
        <w:pStyle w:val="Compact"/>
        <w:numPr>
          <w:ilvl w:val="0"/>
          <w:numId w:val="1005"/>
        </w:numPr>
      </w:pPr>
      <w:r>
        <w:t xml:space="preserve">Safe logs/errors, request/operation references, config availability, metrics and alert ownership. Audit history is not just short-retention telemetry.</w:t>
      </w:r>
    </w:p>
    <w:p>
      <w:pPr>
        <w:pStyle w:val="Compact"/>
        <w:numPr>
          <w:ilvl w:val="0"/>
          <w:numId w:val="1005"/>
        </w:numPr>
      </w:pPr>
      <w:r>
        <w:t xml:space="preserve">Version-pinned private assets, publication gates, consent/policy purpose/retention, consumer/support/refund procedures and legal review.</w:t>
      </w:r>
    </w:p>
    <w:p>
      <w:pPr>
        <w:pStyle w:val="Compact"/>
        <w:numPr>
          <w:ilvl w:val="0"/>
          <w:numId w:val="1005"/>
        </w:numPr>
      </w:pPr>
      <w:r>
        <w:t xml:space="preserve">Isolated local/test/approved sandbox; preview no production DB; release review/additive migration/fresh+upgrade compatibility, disabled-new-checkout switch and non-destructive app rollback.</w:t>
      </w:r>
    </w:p>
    <w:p>
      <w:pPr>
        <w:pStyle w:val="Compact"/>
        <w:numPr>
          <w:ilvl w:val="0"/>
          <w:numId w:val="1005"/>
        </w:numPr>
      </w:pPr>
      <w:r>
        <w:t xml:space="preserve">Rehearsed data/asset recovery, protected backup/export, evidence of recovery target and reconciliation of provider payments after restore. No restore strategy deleting paid facts unnoticed.</w:t>
      </w:r>
    </w:p>
    <w:p>
      <w:pPr>
        <w:pStyle w:val="Compact"/>
        <w:numPr>
          <w:ilvl w:val="0"/>
          <w:numId w:val="1005"/>
        </w:numPr>
      </w:pPr>
      <w:r>
        <w:t xml:space="preserve">Verified integrated customer cycle and operator failure resolution; separate authorization for production schema, keys, domain and controlled payment.</w:t>
      </w:r>
    </w:p>
    <w:bookmarkStart w:id="39" w:name="Xd0302a4620c22f2f650aaf298dd8c85abb98333"/>
    <w:p>
      <w:pPr>
        <w:pStyle w:val="Heading3"/>
      </w:pPr>
      <w:r>
        <w:t xml:space="preserve">Proposed service objectives, not contracted SLA</w:t>
      </w:r>
    </w:p>
    <w:p>
      <w:pPr>
        <w:pStyle w:val="FirstParagraph"/>
      </w:pPr>
      <w:r>
        <w:t xml:space="preserve">Before launch define measured window, owner, budget and alert threshold for storefront/status availability, safe checkout-initiation errors/latency, accepted payment-to-access delay, oldest pending exception/outbox job, missing assets and support response. Public uptime alone cannot prove ability to pay/deliver. No 99.99%/instant-delivery promise without measurement/provider limits and recovery capacity.</w:t>
      </w:r>
    </w:p>
    <w:p>
      <w:pPr>
        <w:pStyle w:val="BodyText"/>
      </w:pPr>
      <w:r>
        <w:t xml:space="preserve">Decide RPO/RTO from cost/customer impact and rehearse non-production. D1 Time Travel window is plan-dependent, not proof of TOLVEY recovery readiness. Restore can lose internal post-bookmark changes while provider payments survive; freeze affected writes and reconcile before reopening. Asset rollback must restore correct purchased version, not only current catalog.</w:t>
      </w:r>
    </w:p>
    <w:bookmarkEnd w:id="39"/>
    <w:bookmarkStart w:id="40" w:name="enterprise-oriented-later-controls"/>
    <w:p>
      <w:pPr>
        <w:pStyle w:val="Heading3"/>
      </w:pPr>
      <w:r>
        <w:t xml:space="preserve">Enterprise-oriented later controls</w:t>
      </w:r>
    </w:p>
    <w:p>
      <w:pPr>
        <w:pStyle w:val="FirstParagraph"/>
      </w:pPr>
      <w:r>
        <w:t xml:space="preserve">More staff/clients or contractual needs can justify actual reviewer separation, SSO/SCIM/offboarding, granular audit/export permissions, longer protected audit retention, incident/on-call process, independent security assessment, data processing/vendor register, dependency/SBOM/release provenance, load tests and split public/internal deployment. Compliance certification needs its own program/audit; this document does not imply ISO/SOC2/PCI certification. TOLVEY delegates card entry to provider; that alone is not a blanket PCI compliance determination.</w:t>
      </w:r>
    </w:p>
    <w:bookmarkEnd w:id="40"/>
    <w:bookmarkEnd w:id="41"/>
    <w:bookmarkStart w:id="42" w:name="X0f35f1b25013cc32d890e659c0a3810bb609f67"/>
    <w:p>
      <w:pPr>
        <w:pStyle w:val="Heading2"/>
      </w:pPr>
      <w:r>
        <w:t xml:space="preserve">10. Monitoring, finance truth and failure isolation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Signal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Internal action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Public/customer behavior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Anonymous catalog errors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Alert engineer; restore public projection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Honest temporary unavailable, no fake catalog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Ops identity/JWKS unavailable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Deny ops writes; assigned incident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Do not lock public product browsing unnecessarily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Provider unavailable/ambiguous initiation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Preserve reservation/pending + exception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Processing/support, never paid or duplicate invoice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Confirmed but delivery issue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Keep payment truth; assigned fulfillment case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Owned status shows issue and contact; retries authorized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Email send/bounce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Durable notification status + safe resend/recovery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Order/access stays canonical; no false product delivery claim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Growth telemetry outage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Record missing attribution; retry only allowed tracking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Purchase/access not blocked solely for analytics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DB unavailable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Fail new financial commands closed; incident/recovery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No new paid claim or entitlement from memory cache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Queue/DLQ backlog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Alert owner, inspect/replay bounded job IDs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Safe pending state; no duplicate fulfillment/payment</w:t>
            </w:r>
          </w:p>
        </w:tc>
      </w:tr>
    </w:tbl>
    <w:p>
      <w:pPr>
        <w:pStyle w:val="BodyText"/>
      </w:pPr>
      <w:r>
        <w:t xml:space="preserve">Financial reporting uses verified canonical payments/external evidence, not Web Analytics, Sentry, queue delivery or email opens. Gross paid ≠ settlement ≠ recognized revenue/profit. Logs/analytics sampling cannot be the only audit of critical state transitions; persist appropriate canonical evidence atomically.</w:t>
      </w:r>
    </w:p>
    <w:p>
      <w:pPr>
        <w:pStyle w:val="BodyText"/>
      </w:pPr>
      <w:r>
        <w:t xml:space="preserve">Workers telemetry may automatically include URLs/query/request metadata, even if console logs are sanitized. Review invocation-log settings, export destinations, scrubbing, access/retention and costs before enabling them [S6]. Customer/contact/token/raw callback values must not be sent to external telemetry by default.</w:t>
      </w:r>
    </w:p>
    <w:bookmarkEnd w:id="42"/>
    <w:bookmarkStart w:id="43" w:name="X9824aed4d3042820c04ab3379106986ae6d34c5"/>
    <w:p>
      <w:pPr>
        <w:pStyle w:val="Heading2"/>
      </w:pPr>
      <w:r>
        <w:t xml:space="preserve">11. Indonesian business/legal launch register</w:t>
      </w:r>
    </w:p>
    <w:p>
      <w:pPr>
        <w:pStyle w:val="FirstParagraph"/>
      </w:pPr>
      <w:r>
        <w:t xml:space="preserve">Source review supports a</w:t>
      </w:r>
      <w:r>
        <w:t xml:space="preserve"> </w:t>
      </w:r>
      <w:r>
        <w:rPr>
          <w:b/>
          <w:bCs/>
        </w:rPr>
        <w:t xml:space="preserve">mandatory applicability/evidence review</w:t>
      </w:r>
      <w:r>
        <w:t xml:space="preserve">, not legal clearance: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Item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Required owner action / evidence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Not claimed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Seller identity/business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Verify legal identity/form, relevant NIB/KBLI/licensing and accurate contact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TOLVEY registration/license already approved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PSE classification/registration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Assess/register applicable private electronic system through official process; official criteria include offerings/trade and paid digital delivery [S8]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Public UI implies PSE Lingkup Publik, or domain gives exemption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PMSE/consumer contracts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Review applicable PP80/2019 and current implementing rules; disclosure, contract/receipt, complaints, delivery/refund commitments [S9]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Exhaustive legal analysis of all current obligations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PDP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Identify controller/processors, purpose/legal basis, minimum collection/retention/access, rights/incident process and cross-border/vendor review [S11]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Generic cookie banner or vendor badge proves PDP compliance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Tax/payment/payout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Professional review of actual business/transaction obligations; provider merchant eligibility/fees/settlement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Authenticated provider connection proves business/legal acceptance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IP/license/product claims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Own/permissioned assets, permitted template/platform licenses, honest limits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Money Kit/financial outcomes guaranteed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Marketing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Lawful claims, channel/ad policy, consent/opt-out and budgets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Internal growth dashboard permits every platform or spend</w:t>
            </w:r>
          </w:p>
        </w:tc>
      </w:tr>
    </w:tbl>
    <w:p>
      <w:pPr>
        <w:pStyle w:val="BodyText"/>
      </w:pPr>
      <w:r>
        <w:t xml:space="preserve">Registration status, entity owner and legal decisions are sensitive internal records; public pages disclose only verified necessary details. Do not publish registration numbers/badges that have not been issued. Record owner, source, review date, applicability conclusion/evidence and unresolved items. This is not legal advice.</w:t>
      </w:r>
    </w:p>
    <w:bookmarkEnd w:id="43"/>
    <w:bookmarkStart w:id="44" w:name="X53d3f6eb6649e7bc81b4fd9624706a095b22979"/>
    <w:p>
      <w:pPr>
        <w:pStyle w:val="Heading2"/>
      </w:pPr>
      <w:r>
        <w:t xml:space="preserve">12. Current gaps and build sequence</w:t>
      </w:r>
    </w:p>
    <w:p>
      <w:pPr>
        <w:pStyle w:val="FirstParagraph"/>
      </w:pPr>
      <w:r>
        <w:t xml:space="preserve">Current code has read-only foundation UI/catalog, local transaction/POP contract and protected production connection check. It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ops console/Access integration, customer ownership checkout, R2 entitlements, email recovery, channel/demand console, outbound registry, outbox/queue/workflow, advanced telemetry or legal-readiness evidence. Documentation commit does not redeploy code.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Priority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Slice / deliverable</w:t>
            </w:r>
          </w:p>
        </w:tc>
        <w:tc>
          <w:tcPr>
            <w:shd w:fill="E7EFF4"/>
          </w:tcPr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Gate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P0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Public/internal policy contract, operator identity/offboarding, audited draft/review/publication, one real product page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Ops denied without verified identity, missing package blocked, drafts hidden, active page safe; payment remains closed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P0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Customer session/contact/policy + owned checkout/status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Principal-scoped idempotency, other-customer denial, CSRF/abuse/expiry/recovery; server money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P0 provider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Separate Phase 3 actual deployed sandbox initiation/payment/callback/status/reconcile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Existing live gate still required; no stub/production-auth substitution or env spoof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P0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Private version delivery + operator order/exception/support view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Payment-gated grant, pinned bytes, unpaid/other recipient denied, paid failure recoverable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P0 release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Business/legal register + domain/identity, recovery/alerts and authorized Phase 7 release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Evidence-based owner/legal/security review, approved migrations/keys/DNS/payment, real controlled delivery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P1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Distribution/demand desk + approved destinations/manual external intake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Policy/version/source/evidence unique; open redirect and data leak denied; no fake sale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Conditional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Email/outbox/drain/queue and fuller monitoring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Adopt when promised timing/recovery needs it; tests for duplicate/timeout/DLQ/replay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Later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Service milestones/customer library, role separation, split deployments/Workflows/analytics automation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rFonts w:ascii="Calibri" w:hAnsi="Calibri"/>
                <w:sz w:val="18"/>
              </w:rPr>
              <w:t xml:space="preserve">Real scope/team/load/economic justification, reviewed boundaries</w:t>
            </w:r>
          </w:p>
        </w:tc>
      </w:tr>
    </w:tbl>
    <w:p>
      <w:pPr>
        <w:pStyle w:val="BodyText"/>
      </w:pPr>
      <w:r>
        <w:t xml:space="preserve">Preserve phases 0–8; these are slices/dependencies, not new A/B/C phases. An enterprise-looking dashboard is not a prerequisite to public launch; identity/permissions and smallest useful operational controls are. Independent product QA/content/read-only page work can proceed while provider gate blocked under separate request. No payment/deploy/DNS/resource change authorized by this conceptual request.</w:t>
      </w:r>
    </w:p>
    <w:bookmarkEnd w:id="44"/>
    <w:bookmarkStart w:id="45" w:name="X512e2efe9cfb6c1ec134516d9e12bb506e65e01"/>
    <w:p>
      <w:pPr>
        <w:pStyle w:val="Heading2"/>
      </w:pPr>
      <w:r>
        <w:t xml:space="preserve">13. Acceptance tests for layer separation (target, not executed)</w:t>
      </w:r>
    </w:p>
    <w:p>
      <w:pPr>
        <w:pStyle w:val="Compact"/>
        <w:numPr>
          <w:ilvl w:val="0"/>
          <w:numId w:val="1006"/>
        </w:numPr>
      </w:pPr>
      <w:r>
        <w:t xml:space="preserve">Anonymous can see published product/help, cannot see draft/ops/order/assets.</w:t>
      </w:r>
    </w:p>
    <w:p>
      <w:pPr>
        <w:pStyle w:val="Compact"/>
        <w:numPr>
          <w:ilvl w:val="0"/>
          <w:numId w:val="1006"/>
        </w:numPr>
      </w:pPr>
      <w:r>
        <w:t xml:space="preserve">Customer A cannot enumerate/read/initiate/download/recover Customer B, including replaying another customer's idempotency key.</w:t>
      </w:r>
    </w:p>
    <w:p>
      <w:pPr>
        <w:pStyle w:val="Compact"/>
        <w:numPr>
          <w:ilvl w:val="0"/>
          <w:numId w:val="1006"/>
        </w:numPr>
      </w:pPr>
      <w:r>
        <w:t xml:space="preserve">Missing/forged/expired/wrong-audience Access identity denies ops on custom and default/immutable/preview origins; disabled principal denied despite otherwise valid token.</w:t>
      </w:r>
    </w:p>
    <w:p>
      <w:pPr>
        <w:pStyle w:val="Compact"/>
        <w:numPr>
          <w:ilvl w:val="0"/>
          <w:numId w:val="1006"/>
        </w:numPr>
      </w:pPr>
      <w:r>
        <w:t xml:space="preserve">Growth operator cannot read payment/customer contact or publish unapproved offer; support cannot export unrestricted finance or create arbitrary entitlement.</w:t>
      </w:r>
    </w:p>
    <w:p>
      <w:pPr>
        <w:pStyle w:val="Compact"/>
        <w:numPr>
          <w:ilvl w:val="0"/>
          <w:numId w:val="1006"/>
        </w:numPr>
      </w:pPr>
      <w:r>
        <w:t xml:space="preserve">Cookie mutation fails CSRF/origin tests; machine callback remains reachable without human challenge but rejects invalid signature/money/reference/state.</w:t>
      </w:r>
    </w:p>
    <w:p>
      <w:pPr>
        <w:pStyle w:val="Compact"/>
        <w:numPr>
          <w:ilvl w:val="0"/>
          <w:numId w:val="1006"/>
        </w:numPr>
      </w:pPr>
      <w:r>
        <w:t xml:space="preserve">Outbound destination ID never accepts arbitrary URL; disabled listing fails; no order/token/PII in external URL/referrer/telemetry.</w:t>
      </w:r>
    </w:p>
    <w:p>
      <w:pPr>
        <w:pStyle w:val="Compact"/>
        <w:numPr>
          <w:ilvl w:val="0"/>
          <w:numId w:val="1006"/>
        </w:numPr>
      </w:pPr>
      <w:r>
        <w:t xml:space="preserve">Publish requires valid real package/terms and active parents; unpublish stops new checkout but preserves prior purchased version.</w:t>
      </w:r>
    </w:p>
    <w:p>
      <w:pPr>
        <w:pStyle w:val="Compact"/>
        <w:numPr>
          <w:ilvl w:val="0"/>
          <w:numId w:val="1006"/>
        </w:numPr>
      </w:pPr>
      <w:r>
        <w:t xml:space="preserve">Duplicate callback/job/import produces one canonical transition/grant; at-least-once delivery never means extra sale.</w:t>
      </w:r>
    </w:p>
    <w:p>
      <w:pPr>
        <w:pStyle w:val="Compact"/>
        <w:numPr>
          <w:ilvl w:val="0"/>
          <w:numId w:val="1006"/>
        </w:numPr>
      </w:pPr>
      <w:r>
        <w:t xml:space="preserve">Provider timeout leaves ambiguity visible; retry cannot delete RESERVED/create new invoice; late paid after expiry routed to reviewed exception.</w:t>
      </w:r>
    </w:p>
    <w:p>
      <w:pPr>
        <w:pStyle w:val="Compact"/>
        <w:numPr>
          <w:ilvl w:val="0"/>
          <w:numId w:val="1006"/>
        </w:numPr>
      </w:pPr>
      <w:r>
        <w:t xml:space="preserve">Missing object/email bounce/JWKS/analytics/queue outage produces correct isolated failure and safe support, not fabricated payment/delivery.</w:t>
      </w:r>
    </w:p>
    <w:p>
      <w:pPr>
        <w:pStyle w:val="Compact"/>
        <w:numPr>
          <w:ilvl w:val="0"/>
          <w:numId w:val="1006"/>
        </w:numPr>
      </w:pPr>
      <w:r>
        <w:t xml:space="preserve">Public cache cannot leak private response/credentials; public product changes do not rewrite purchase snapshots.</w:t>
      </w:r>
    </w:p>
    <w:p>
      <w:pPr>
        <w:pStyle w:val="Compact"/>
        <w:numPr>
          <w:ilvl w:val="0"/>
          <w:numId w:val="1006"/>
        </w:numPr>
      </w:pPr>
      <w:r>
        <w:t xml:space="preserve">Fresh/upgrade migrations and compiled Worker/browser behavior pass; app rollback/data recovery reconciles external paid events and correct version assets.</w:t>
      </w:r>
    </w:p>
    <w:p>
      <w:pPr>
        <w:pStyle w:val="FirstParagraph"/>
      </w:pPr>
      <w:r>
        <w:t xml:space="preserve">No new acceptance test or production penetration test is claimed passed by this design. Last full runtime suite: inherited 237; this document's validation is link/content/file integrity and source/config unchanged, reported in delivery.</w:t>
      </w:r>
    </w:p>
    <w:bookmarkEnd w:id="45"/>
    <w:bookmarkStart w:id="57" w:name="X130df5ca9a847643464ad206e987ea253d4da03"/>
    <w:p>
      <w:pPr>
        <w:pStyle w:val="Heading2"/>
      </w:pPr>
      <w:r>
        <w:t xml:space="preserve">14. Official-source register — reviewed 2026-10-01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S1 — Access JWT verification:</w:t>
      </w:r>
      <w:r>
        <w:t xml:space="preserve"> </w:t>
      </w:r>
      <w:hyperlink r:id="rId46">
        <w:r>
          <w:rPr>
            <w:rStyle w:val="Hyperlink"/>
          </w:rPr>
          <w:t xml:space="preserve">https://developers.cloudflare.com/cloudflare-one/access-controls/applications/http-apps/authorization-cookie/validating-json/</w:t>
        </w:r>
      </w:hyperlink>
      <w:r>
        <w:t xml:space="preserve"> </w:t>
      </w:r>
      <w:r>
        <w:t xml:space="preserve">— Worker must validate signature/issuer/audience; JWKS rotation. No Access resource configured.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S2 — Pages bindings:</w:t>
      </w:r>
      <w:r>
        <w:t xml:space="preserve"> </w:t>
      </w:r>
      <w:hyperlink r:id="rId47">
        <w:r>
          <w:rPr>
            <w:rStyle w:val="Hyperlink"/>
          </w:rPr>
          <w:t xml:space="preserve">https://developers.cloudflare.com/pages/functions/bindings/</w:t>
        </w:r>
      </w:hyperlink>
      <w:r>
        <w:t xml:space="preserve"> </w:t>
      </w:r>
      <w:r>
        <w:t xml:space="preserve">— D1/R2/service bindings and queue producers; Pages cannot consume queue events, separate Worker required. Actual project capability/config must be tested.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S3 — Queue delivery:</w:t>
      </w:r>
      <w:r>
        <w:t xml:space="preserve"> </w:t>
      </w:r>
      <w:hyperlink r:id="rId48">
        <w:r>
          <w:rPr>
            <w:rStyle w:val="Hyperlink"/>
          </w:rPr>
          <w:t xml:space="preserve">https://developers.cloudflare.com/queues/reference/delivery-guarantees/</w:t>
        </w:r>
      </w:hyperlink>
      <w:r>
        <w:t xml:space="preserve"> </w:t>
      </w:r>
      <w:r>
        <w:t xml:space="preserve">— at least once and consumer dedup required. No queue created.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S4 — Durable workflows:</w:t>
      </w:r>
      <w:r>
        <w:t xml:space="preserve"> </w:t>
      </w:r>
      <w:hyperlink r:id="rId49">
        <w:r>
          <w:rPr>
            <w:rStyle w:val="Hyperlink"/>
          </w:rPr>
          <w:t xml:space="preserve">https://developers.cloudflare.com/workflows/</w:t>
        </w:r>
      </w:hyperlink>
      <w:r>
        <w:t xml:space="preserve"> </w:t>
      </w:r>
      <w:r>
        <w:t xml:space="preserve">— durable steps/retry/wait events; conditional future choice.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S5 — Email sender domains:</w:t>
      </w:r>
      <w:r>
        <w:t xml:space="preserve"> </w:t>
      </w:r>
      <w:hyperlink r:id="rId50">
        <w:r>
          <w:rPr>
            <w:rStyle w:val="Hyperlink"/>
          </w:rPr>
          <w:t xml:space="preserve">https://resend.com/docs/dashboard/domains/introduction</w:t>
        </w:r>
      </w:hyperlink>
      <w:r>
        <w:t xml:space="preserve"> </w:t>
      </w:r>
      <w:r>
        <w:t xml:space="preserve">— domain ownership/verification, subdomain reputation segmentation; not mailbox hosting/account approval or guaranteed inbox delivery.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S6 — Workers Logs:</w:t>
      </w:r>
      <w:r>
        <w:t xml:space="preserve"> </w:t>
      </w:r>
      <w:hyperlink r:id="rId51">
        <w:r>
          <w:rPr>
            <w:rStyle w:val="Hyperlink"/>
          </w:rPr>
          <w:t xml:space="preserve">https://developers.cloudflare.com/workers/observability/logs/workers-logs/</w:t>
        </w:r>
      </w:hyperlink>
      <w:r>
        <w:t xml:space="preserve"> </w:t>
      </w:r>
      <w:r>
        <w:t xml:space="preserve">— logs/sampling/retention, invocation URL metadata, export; verify Pages-specific capability instead of copying Workers-only config blindly.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S7 — Sentry Cloudflare:</w:t>
      </w:r>
      <w:r>
        <w:t xml:space="preserve"> </w:t>
      </w:r>
      <w:hyperlink r:id="rId52">
        <w:r>
          <w:rPr>
            <w:rStyle w:val="Hyperlink"/>
          </w:rPr>
          <w:t xml:space="preserve">https://docs.sentry.io/platforms/javascript/guides/cloudflare/</w:t>
        </w:r>
      </w:hyperlink>
      <w:r>
        <w:t xml:space="preserve"> </w:t>
      </w:r>
      <w:r>
        <w:t xml:space="preserve">— official SDK integration guidance, nodejs_compat and Pages/Hono distinctions; privacy/data collection review needed. Optional, not installed.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S8 — Komdigi PSE criteria:</w:t>
      </w:r>
      <w:r>
        <w:t xml:space="preserve"> </w:t>
      </w:r>
      <w:hyperlink r:id="rId53">
        <w:r>
          <w:rPr>
            <w:rStyle w:val="Hyperlink"/>
          </w:rPr>
          <w:t xml:space="preserve">https://pse.komdigi.go.id/panduan/kriteria-pendaftaran-pse-lingkup-privat</w:t>
        </w:r>
      </w:hyperlink>
      <w:r>
        <w:t xml:space="preserve"> </w:t>
      </w:r>
      <w:r>
        <w:t xml:space="preserve">— rendered content confirms offering/trade and paid digital delivery criteria and obligation when criteria met. Not a registration-status lookup or legal determination for TOLVEY.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S9 — PMSE:</w:t>
      </w:r>
      <w:r>
        <w:t xml:space="preserve"> </w:t>
      </w:r>
      <w:hyperlink r:id="rId54">
        <w:r>
          <w:rPr>
            <w:rStyle w:val="Hyperlink"/>
          </w:rPr>
          <w:t xml:space="preserve">https://jdih.kemendag.go.id/peraturan/peraturan-pemerintah-nomor-80-tahun-2019-tentang-perdagangan-melalui-sistem-elektronik</w:t>
        </w:r>
      </w:hyperlink>
      <w:r>
        <w:t xml:space="preserve"> </w:t>
      </w:r>
      <w:r>
        <w:t xml:space="preserve">— rendered official record: PP80/2019 PMSE, status Berlaku; full legal-text/current implementing-rule analysis not performed.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S10 — Web performance analytics:</w:t>
      </w:r>
      <w:r>
        <w:t xml:space="preserve"> </w:t>
      </w:r>
      <w:hyperlink r:id="rId55">
        <w:r>
          <w:rPr>
            <w:rStyle w:val="Hyperlink"/>
          </w:rPr>
          <w:t xml:space="preserve">https://developers.cloudflare.com/web-analytics/about/</w:t>
        </w:r>
      </w:hyperlink>
      <w:r>
        <w:t xml:space="preserve"> </w:t>
      </w:r>
      <w:r>
        <w:t xml:space="preserve">— privacy-first RUM/page performance, not canonical sales metrics.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S11 — PDP official reference located:</w:t>
      </w:r>
      <w:r>
        <w:t xml:space="preserve"> </w:t>
      </w:r>
      <w:hyperlink r:id="rId56">
        <w:r>
          <w:rPr>
            <w:rStyle w:val="Hyperlink"/>
          </w:rPr>
          <w:t xml:space="preserve">https://peraturan.bpk.go.id/Details/229798/uu-no-27-tahun-2022</w:t>
        </w:r>
      </w:hyperlink>
      <w:r>
        <w:t xml:space="preserve"> </w:t>
      </w:r>
      <w:r>
        <w:t xml:space="preserve">— official search metadata identified UU27/2022; full text/applicability not analyzed in this session.</w:t>
      </w:r>
    </w:p>
    <w:p>
      <w:pPr>
        <w:pStyle w:val="FirstParagraph"/>
      </w:pPr>
      <w:r>
        <w:t xml:space="preserve">PSE and JDIH initial plain crawl returned page shell; JS-rendered retry retrieved substantive content. Other technical references retrieved directly. Research is not vendor/account/legal approval. Related full-cycle specification: docs/19; gates: docs/15; business strategy: docs/39/34; ops: docs/10; metrics: docs/27.</w:t>
      </w:r>
    </w:p>
    <w:bookmarkEnd w:id="57"/>
    <w:bookmarkEnd w:id="58"/>
    <w:sectPr>
      <w:headerReference w:type="default" r:id="rId9"/>
      <w:footerReference w:type="default" r:id="rId10"/>
      <w:pgSz w:w="11906" w:h="16838"/>
      <w:pgMar w:top="1020" w:bottom="1020" w:left="964" w:right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Target design — bukan klaim commerce aktif   |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172"/>
        <w:sz w:val="18"/>
      </w:rPr>
      <w:t>TOLVEY  |  Architecture Specification  |  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9" w:lineRule="auto"/>
    </w:pPr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20" w:before="180" w:line="259" w:lineRule="auto"/>
    </w:pPr>
    <w:rPr>
      <w:rFonts w:ascii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line="259" w:lineRule="auto"/>
    </w:pPr>
    <w:rPr>
      <w:rFonts w:ascii="Calibri" w:hAnsi="Calibri"/>
      <w:sz w:val="20"/>
    </w:rPr>
  </w:style>
  <w:style w:customStyle="1" w:styleId="Compact" w:type="paragraph">
    <w:name w:val="Compact"/>
    <w:basedOn w:val="BodyText"/>
    <w:qFormat/>
    <w:pPr>
      <w:spacing w:after="120" w:before="36" w:line="259" w:lineRule="auto"/>
    </w:pPr>
    <w:rPr>
      <w:rFonts w:ascii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4344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4344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4344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6" Type="http://schemas.openxmlformats.org/officeDocument/2006/relationships/hyperlink" Target="https://developers.cloudflare.com/cloudflare-one/access-controls/applications/http-apps/authorization-cookie/validating-json/" TargetMode="External"/><Relationship Id="rId47" Type="http://schemas.openxmlformats.org/officeDocument/2006/relationships/hyperlink" Target="https://developers.cloudflare.com/pages/functions/bindings/" TargetMode="External"/><Relationship Id="rId48" Type="http://schemas.openxmlformats.org/officeDocument/2006/relationships/hyperlink" Target="https://developers.cloudflare.com/queues/reference/delivery-guarantees/" TargetMode="External"/><Relationship Id="rId55" Type="http://schemas.openxmlformats.org/officeDocument/2006/relationships/hyperlink" Target="https://developers.cloudflare.com/web-analytics/about/" TargetMode="External"/><Relationship Id="rId51" Type="http://schemas.openxmlformats.org/officeDocument/2006/relationships/hyperlink" Target="https://developers.cloudflare.com/workers/observability/logs/workers-logs/" TargetMode="External"/><Relationship Id="rId49" Type="http://schemas.openxmlformats.org/officeDocument/2006/relationships/hyperlink" Target="https://developers.cloudflare.com/workflows/" TargetMode="External"/><Relationship Id="rId52" Type="http://schemas.openxmlformats.org/officeDocument/2006/relationships/hyperlink" Target="https://docs.sentry.io/platforms/javascript/guides/cloudflare/" TargetMode="External"/><Relationship Id="rId20" Type="http://schemas.openxmlformats.org/officeDocument/2006/relationships/hyperlink" Target="https://github.com/Sparkmind-obp-off/Tolvey" TargetMode="External"/><Relationship Id="rId54" Type="http://schemas.openxmlformats.org/officeDocument/2006/relationships/hyperlink" Target="https://jdih.kemendag.go.id/peraturan/peraturan-pemerintah-nomor-80-tahun-2019-tentang-perdagangan-melalui-sistem-elektronik" TargetMode="External"/><Relationship Id="rId56" Type="http://schemas.openxmlformats.org/officeDocument/2006/relationships/hyperlink" Target="https://peraturan.bpk.go.id/Details/229798/uu-no-27-tahun-2022" TargetMode="External"/><Relationship Id="rId53" Type="http://schemas.openxmlformats.org/officeDocument/2006/relationships/hyperlink" Target="https://pse.komdigi.go.id/panduan/kriteria-pendaftaran-pse-lingkup-privat" TargetMode="External"/><Relationship Id="rId50" Type="http://schemas.openxmlformats.org/officeDocument/2006/relationships/hyperlink" Target="https://resend.com/docs/dashboard/domains/introduction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developers.cloudflare.com/cloudflare-one/access-controls/applications/http-apps/authorization-cookie/validating-json/" TargetMode="External"/><Relationship Id="rId47" Type="http://schemas.openxmlformats.org/officeDocument/2006/relationships/hyperlink" Target="https://developers.cloudflare.com/pages/functions/bindings/" TargetMode="External"/><Relationship Id="rId48" Type="http://schemas.openxmlformats.org/officeDocument/2006/relationships/hyperlink" Target="https://developers.cloudflare.com/queues/reference/delivery-guarantees/" TargetMode="External"/><Relationship Id="rId55" Type="http://schemas.openxmlformats.org/officeDocument/2006/relationships/hyperlink" Target="https://developers.cloudflare.com/web-analytics/about/" TargetMode="External"/><Relationship Id="rId51" Type="http://schemas.openxmlformats.org/officeDocument/2006/relationships/hyperlink" Target="https://developers.cloudflare.com/workers/observability/logs/workers-logs/" TargetMode="External"/><Relationship Id="rId49" Type="http://schemas.openxmlformats.org/officeDocument/2006/relationships/hyperlink" Target="https://developers.cloudflare.com/workflows/" TargetMode="External"/><Relationship Id="rId52" Type="http://schemas.openxmlformats.org/officeDocument/2006/relationships/hyperlink" Target="https://docs.sentry.io/platforms/javascript/guides/cloudflare/" TargetMode="External"/><Relationship Id="rId20" Type="http://schemas.openxmlformats.org/officeDocument/2006/relationships/hyperlink" Target="https://github.com/Sparkmind-obp-off/Tolvey" TargetMode="External"/><Relationship Id="rId54" Type="http://schemas.openxmlformats.org/officeDocument/2006/relationships/hyperlink" Target="https://jdih.kemendag.go.id/peraturan/peraturan-pemerintah-nomor-80-tahun-2019-tentang-perdagangan-melalui-sistem-elektronik" TargetMode="External"/><Relationship Id="rId56" Type="http://schemas.openxmlformats.org/officeDocument/2006/relationships/hyperlink" Target="https://peraturan.bpk.go.id/Details/229798/uu-no-27-tahun-2022" TargetMode="External"/><Relationship Id="rId53" Type="http://schemas.openxmlformats.org/officeDocument/2006/relationships/hyperlink" Target="https://pse.komdigi.go.id/panduan/kriteria-pendaftaran-pse-lingkup-privat" TargetMode="External"/><Relationship Id="rId50" Type="http://schemas.openxmlformats.org/officeDocument/2006/relationships/hyperlink" Target="https://resend.com/docs/dashboard/domains/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TOLVEY — Public Commerce &amp; Private Operations Architecture</dc:title>
  <dc:creator>TOLVEY</dc:creator>
  <dc:language>id-ID</dc:language>
  <cp:keywords>TOLVEY, architecture, public commerce, private operations, specification</cp:keywords>
  <dcterms:created xsi:type="dcterms:W3CDTF">2026-10-01T12:03:04Z</dcterms:created>
  <dcterms:modified xsi:type="dcterms:W3CDTF">2026-10-01T12:03:04Z</dcterms:modified>
  <dc:subject>Public/customer/private target design — bukan commerce production aktif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