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2026-09-10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[15]</w:t>
      </w:r>
      <w:r>
        <w:t xml:space="preserve">, refined by reverse geocoding to identify the prominent ones </w:t>
      </w:r>
      <w:r>
        <w:t>[16]</w:t>
      </w:r>
      <w:r>
        <w:t xml:space="preserve">, and later coupled to fire and traffic simulation models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[20]</w:t>
      </w:r>
      <w:r>
        <w:t xml:space="preserve">. Section 4.8 measures what that buys, using the mid-infrared contrast and a sub-pixel area inversion after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no prose file goes unscanned for being unlisted; a data file or a generator escapes it. The step that can fail is registration: September 2026 retractions skipped it four times, and each hand-applied correction left the same claim standing in a file that lap had itself edited or shipped. It matches spellings, not meaning, one language and one source line at a time: in an independent probe, sentences reusing a registered spelling were caught and sentences reworded around one were not. All three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Had that sentence been a registered spelling the scan would have found it in the template, which it does read; it was not, so nothing did.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are values of the Section 4.5 arm and are withheld for the reason that section gives. The committed value is not moved and this paper reports the qualification rather than a correction. Of the other two regions, Uljin-Samcheok has not been re-read under the uniform rule and Yeongdeok cannot be, its walk graph of that vintage no longer being recoverable.</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That grid has since been refined — three intermediate widths, the five reproducing cell for cell — and the top is a shoulder two sampled widths wide, not a peak. The opponent's score is reported at the best width measured, a width picked out after the run by scanning outcomes, so it is a maximum over that grid and the forecast's advantage over it non-increasing as widths are added. This refinement moved the best width off the committed one, taking part of that advantage.</w:t>
      </w:r>
    </w:p>
    <w:p>
      <w:r>
        <w:t>Two further caveats bind the whole comparison. The forecast-aware arm plans on the same hazard field it is graded against, a leave-one-fire-out simulation rather than the fire, so it cannot be wrong there (</w:t>
      </w:r>
      <w:r>
        <w:rPr>
          <w:rFonts w:ascii="Consolas" w:hAnsi="Consolas"/>
          <w:sz w:val="19"/>
        </w:rPr>
        <w:t>docs/oracle_gap.md</w:t>
      </w:r>
      <w:r>
        <w:t>); what it is worth against a present-perimeter policy is what trusting that prediction buys, and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an origin-level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the observed FIRMS footprint, reporting how many of the 42 fire-blind routes intersect observed burn inside the walker's arrival window. That field is committed on the same grid, on its own clock, an observation and not the fire]</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