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2026-09-07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driven by a human-entered origin point </w:t>
      </w:r>
      <w:r>
        <w:t>[10]</w:t>
      </w:r>
      <w:r>
        <w:t xml:space="preserve">; Gyeonggi Province's civil-defence alert model predicts a fire's route, arrival times and the township it reaches, in half-hour steps, and was announced for trial operation in April 2026 </w:t>
      </w:r>
      <w:r>
        <w:t>[11]</w:t>
      </w:r>
      <w:r>
        <w:t>. Both answer where the fire goes, for a suppression commander or a siren operator; neither answers which household can still walk out and by which path — the object this paper produces. No accuracy comparison is made in either direction: no published validation of either was located, and the capability figures in circulation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[15]</w:t>
      </w:r>
      <w:r>
        <w:t xml:space="preserve">, refined by reverse geocoding to name the road segments that matter </w:t>
      </w:r>
      <w:r>
        <w:t>[16]</w:t>
      </w:r>
      <w:r>
        <w:t xml:space="preserve">, and later coupled to traffic simulation so it accounts for the time evacuation takes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the Korean local area every two minutes at 2 km in the infrared </w:t>
      </w:r>
      <w:r>
        <w:t>[20]</w:t>
      </w:r>
      <w:r>
        <w:t xml:space="preserve">. Section 4.8 measures what that buys, using the mid-infrared contrast and the sub-pixel area inversion standard since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for which gait speed is an established predictor of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the detection-timing measurement of Section 4.8: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a withdrawn claim cannot survive in a prose file nobody thought to list; a data file or a generator escapes it. The step that can fail is registration: September 2026 retractions skipped it twice, and each hand-applied correction left the same claim standing in a file that lap had itself edited or shipped. It matches spellings, not meaning: in an independent probe, sentences reusing a registered spelling were caught and sentences reworded around one were not, and that limit is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Had that sentence been a registered spelling the scan would have found it in the template, which the scan does read; it was not, so nothing did. The general point needs no registry: a correction applied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Of the other two regions, Uljin-Samcheok has not been re-read under the uniform rule and Yeongdeok cannot be, its walk graph of that vintage no longer being recoverable.</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of them is the fair opponent is a modelling choice the project has not made, and it is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What the run does not support is any statement about whether a workable width could be chosen in advance: the five widths differ by factors of two, so the grid holds a single point in the region such a claim would be about. One repository document still draws the stronger conclusion from those same five points, as do the caveats the registry carries on this arm's own entries; a second was narrowed to this reading during revision, and the rest is an open item there.</w:t>
      </w:r>
    </w:p>
    <w:p>
      <w:r>
        <w:t xml:space="preserve">Two caveats bind the whole comparison. The forecast-aware arm plans on the same hazard field it is graded against, so whatever it is worth against a present-perimeter policy is what a </w:t>
      </w:r>
      <w:r>
        <w:rPr>
          <w:i/>
        </w:rPr>
        <w:t>noiseless</w:t>
      </w:r>
      <w:r>
        <w:t xml:space="preserve"> forecast is worth;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with no model at all.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