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2026-09-05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in Korea during the March 2025 Gyeongbuk wildfires, the largest on the country's record by burned area, yet neither produced the last-kilometre answer a rural household needs: which way to walk now, and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on a network covering 32.6 % of the predicted fire core whose bias runs in an unmeasured direction.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Its first anomaly comes 22 to 64 minutes after the recorded occurrence time, at a size floor of 0.1 to 1 hectare — too coarse for an ignition, on a clock whose relation to the emergency call this repository cannot establish. The gap was not that nobody knew; it was between knowing and acting. A district-level probability does not tell one household on one lane which direction is still walkable at 09:40, nor a fire crew which of the houses that cannot self-evacuate they can still drive to, or for how much longer. That gap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and this paper is as much about the evaluation design under which it was built. It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[18]</w:t>
      </w:r>
      <w:r>
        <w:t xml:space="preserve">. Section 4.7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 the finite-sample term consumes most of the error budget, and that negative result is the contribution.</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tracked document is read against it, so a withdrawn claim cannot survive in a file nobody thought to list. It matches spellings, not meaning: in an independent probe, sentences reusing a registered spelling were caught and sentences reworded around one were not, and that limit is recorded rather than designed away.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Two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The system's premise is that detection was not the binding failure, and that premise is partly testable here.</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one field answers the responder's mirror-image question too.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do not get guarantees by changing the calibration method, but by having more events.</w:t>
      </w:r>
    </w:p>
    <w:p>
      <w:r>
        <w:rPr>
          <w:b/>
        </w:rPr>
        <w:t>Where the trigger comes from, and where the warning goes.</w:t>
      </w:r>
      <w:r>
        <w:t xml:space="preserve"> Section 4.7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county subset of an external designated-site dataset, cut on an administrative code and labelled with a county name, was refused when its points proved to lie outside that county's own study box — a label checked against the geometry it claims rather than against a code table. The code was wrong; the subset was re-cut on the right one, checked the same way, and is the inventory Section 6 reports. That whole arc, and not the refusal alone, is what the control buys.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 A second raised Section 6's off-network walking limitation.</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Reading those shares as estimates for households would need an interval nothing here supports.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a point put to the author in written comments by an external researcher in September 2026.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