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2026-09-06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during the March 2025 Gyeongbuk wildfires, the largest on Korea's record by burned area. Neither answered which way a rural household should walk now, or whether a rescue crew can still reach the house. WildfireGuardian couples an event-held-out ignition-probability model to a time-expanded pedestrian router and a rescue-ingress calculation, and re-derives every published number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under the forecast-aware policy, and 2 have no safe walking route, on a network covering 32.6 % of the predicted fire core whose bias runs in an unmeasured direction. That contrast is measured against a fire-blind baseline, so it does not separate knowing where the fire will be from knowing where it is. On a second region that separation has now been measured: a present-perimeter opponent, which refuses what is burning now plus a fixed buffer and needs no model at all, recovers most of what that region's fire-blind contrast credits to the forecast.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On a six-event dataset the transferable contribution is the evaluation design — paired contrasts, matched null controls, and registries that keep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as of 08:30 on 30 March 2025 </w:t>
      </w:r>
      <w:r>
        <w:t>[2]</w:t>
      </w:r>
      <w:r>
        <w:t xml:space="preserve">; Yeongdeok-gun's notice of 29 April puts 10 of them in Yeongdeok where that count had 9, and this paper keeps both rather than asserting one </w:t>
      </w:r>
      <w:r>
        <w:t>[3]</w:t>
      </w:r>
      <w:r>
        <w:t xml:space="preserve">. A rapid attribution study of 30 April 2025 splits them differently between districts and counts alongside them a separate fire's dead, on a "southeastern Korea" extent of "more than 48,000 hectares" that is not the chain's </w:t>
      </w:r>
      <w:r>
        <w:t>[4]</w:t>
      </w:r>
      <w:r>
        <w:t xml:space="preserve">. Nationwide totals are compiled on another basis over another period — the Korea Forest Service's spring fire-watch season, not March — so this paper states the chain's share of any nationwide total nowhere, and the service itself warns that a fire-affected area read off the fire line and a surveyed damage area cannot simply be compared </w:t>
      </w:r>
      <w:r>
        <w:t>[5]</w:t>
      </w:r>
      <w:r>
        <w:t>.</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[3]</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4.8 measures the fastest satellite product over Korea and finds its first anomaly tens of minutes after the recorded occurrence time, at a size floor too coarse for an ignition, on a clock whose relation to the emergency call this repository cannot establish. The gap was between knowing and acting. A district-level probability does not tell one household on one lane which direction is still walkable at 09:40, nor a fire crew which of the houses that cannot self-evacuate they can still drive to, or for how much longer. It is sharpest where the deaths occurred: dispersed rural settlement, slow walkers,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It fits a per-cell ignition-probability model, propagates it into a time-sliced hazard field, and consumes that field twice: in a time-expanded pedestrian router that refuses nodes whose forecast risk will have crossed a cutoff by the walker's arrival, and in a rescue-ingress calculation asking when each approach corridor closes to a vehicle. Its outputs are operator documents (Fig. 1).</w:t>
      </w:r>
    </w:p>
    <w:p>
      <w:r>
        <w:t>We make three claims. The coupling changes decisions, measurably, as a paired contrast: both arms of Section 4.3 run over the same origins, network and field, so neither the routing layer's known approximations nor the coverage limit contaminates it. The operating point is weak, and owning that is part of the result. And the evaluation design is the transferable part: the discipline of matched controls of Section 3.5 is what six fires permit and a large dataset makes easy to skip. How much of the change the forecast itself is responsible for is a separate question, and Section 4.5 answers it on one region by replacing the baseline with a policy that needs no model: much less than the fire-blind contrast implies. The non-claim is the dispatch ordering, which wins 0 of 180 configuration cells against nearest-first at the operating window.</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[7]</w:t>
      </w:r>
      <w:r>
        <w:t xml:space="preserve">, and the WSTS+ extension, which doubles the unique years of history and reports that time-series inputs beat single-day inputs </w:t>
      </w:r>
      <w:r>
        <w:t>[8]</w:t>
      </w:r>
      <w:r>
        <w:t xml:space="preserve">. Six Korean fires cannot compete on that axis, and the metrics are not comparable across these settings anyway: label definition, geometry and above all prevalence differ, and prevalence moves average precision by construction. Physical modelling supplies the alternative framing: minimum-travel-time fire growth </w:t>
      </w:r>
      <w:r>
        <w:t>[9]</w:t>
      </w:r>
      <w:r>
        <w:t>, and an earlier Rothermel-based surface model in this project captured a small fraction of the burned area, which motivated the move to a data-driven field.</w:t>
      </w:r>
    </w:p>
    <w:p>
      <w:r>
        <w:rPr>
          <w:b/>
        </w:rPr>
        <w:t>Evacuation routing.</w:t>
      </w:r>
      <w:r>
        <w:t xml:space="preserve"> Lane-based evacuation routing was posed as a network flow problem two decades ago </w:t>
      </w:r>
      <w:r>
        <w:t>[10]</w:t>
      </w:r>
      <w:r>
        <w:t xml:space="preserve">. Recent work brings wildfire information into that formulation directly: Borgwardt et al. pose wildfire evacuation as maximum flow on a time-expanded network with integrated hazard data </w:t>
      </w:r>
      <w:r>
        <w:t>[11]</w:t>
      </w:r>
      <w:r>
        <w:t xml:space="preserve">, and RESCUE routes under stochastic congestion and uncertain spread </w:t>
      </w:r>
      <w:r>
        <w:t>[12]</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spatial line whose crossing by the fire front should start an evacuation, set by coupling spread modelling to GIS </w:t>
      </w:r>
      <w:r>
        <w:t>[13]</w:t>
      </w:r>
      <w:r>
        <w:t xml:space="preserve">, refined by reverse geocoding to name the road segments that matter </w:t>
      </w:r>
      <w:r>
        <w:t>[14]</w:t>
      </w:r>
      <w:r>
        <w:t xml:space="preserve">, and later coupled to traffic simulation so it accounts for the time evacuation takes </w:t>
      </w:r>
      <w:r>
        <w:t>[15]</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[16]</w:t>
      </w:r>
      <w:r>
        <w:t xml:space="preserve">; the wildland-urban-interface framing follows the standard definition </w:t>
      </w:r>
      <w:r>
        <w:t>[17]</w:t>
      </w:r>
      <w:r>
        <w:t>, whose transfer to rural Korean settlement is untested here.</w:t>
      </w:r>
    </w:p>
    <w:p>
      <w:r>
        <w:rPr>
          <w:b/>
        </w:rPr>
        <w:t>Detection.</w:t>
      </w:r>
      <w:r>
        <w:t xml:space="preserve"> Geostationary imagers trade resolution for cadence: GK2A's Advanced Meteorological Imager returns the Korean local area every two minutes at 2 km in the infrared </w:t>
      </w:r>
      <w:r>
        <w:t>[18]</w:t>
      </w:r>
      <w:r>
        <w:t xml:space="preserve">. Section 4.8 measures what that buys, using the mid-infrared contrast and the sub-pixel area inversion standard since Dozier </w:t>
      </w:r>
      <w:r>
        <w:t>[19]</w:t>
      </w:r>
      <w:r>
        <w:t>.</w:t>
      </w:r>
    </w:p>
    <w:p>
      <w:r>
        <w:rPr>
          <w:b/>
        </w:rPr>
        <w:t>Calibration and guarantees.</w:t>
      </w:r>
      <w:r>
        <w:t xml:space="preserve"> Conformal risk control offers distribution-free guarantees on a monotone risk by calibrating a threshold </w:t>
      </w:r>
      <w:r>
        <w:t>[20]</w:t>
      </w:r>
      <w:r>
        <w:t>. Section 4.2 reports what happens when it is applied honestly at six fires.</w:t>
      </w:r>
    </w:p>
    <w:p>
      <w:r>
        <w:rPr>
          <w:b/>
        </w:rPr>
        <w:t>Walking speed.</w:t>
      </w:r>
      <w:r>
        <w:t xml:space="preserve"> The elderly gait speeds this system assumes sit in the range for which gait speed is an established predictor of survival in older adults </w:t>
      </w:r>
      <w:r>
        <w:t>[21]</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[22]</w:t>
      </w:r>
      <w:r>
        <w:t xml:space="preserve">, whose detection times define the prediction target; weather from ERA5 reanalysis on single levels </w:t>
      </w:r>
      <w:r>
        <w:t>[23]</w:t>
      </w:r>
      <w:r>
        <w:t xml:space="preserve">; terrain from SRTM </w:t>
      </w:r>
      <w:r>
        <w:t>[24]</w:t>
      </w:r>
      <w:r>
        <w:t xml:space="preserve">; fuel from ESA WorldCover at 10 m </w:t>
      </w:r>
      <w:r>
        <w:t>[25]</w:t>
      </w:r>
      <w:r>
        <w:t xml:space="preserve">; and road networks, building footprints and candidate refuge and depot points of interest from OpenStreetMap, graph-built with OSMnx </w:t>
      </w:r>
      <w:r>
        <w:t>[26, 27]</w:t>
      </w:r>
      <w:r>
        <w:t>. No proprietary or paid source is used.</w:t>
      </w:r>
    </w:p>
    <w:p>
      <w:r>
        <w:t xml:space="preserve">One further public input feeds only the detection-timing measurement of Section 4.8: GK2A level-1B radiances,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a field of that form, though not the same instance: the pedestrian results below are computed on this canonical field and the committed responder series on the synthetic one of Section 3.4.</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this router's approximations, deliberately not fixed. All divide out of a paired contrast: both arms run through the same scoring function on the same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surviving vehicle ingress. An assumed immobile fraction of 0.3 drives the split and is swept. </w:t>
      </w:r>
      <w:r>
        <w:rPr>
          <w:b/>
        </w:rPr>
        <w:t>That series is only a partial flip to real data, and every 439-origin number in this paper inherits it.</w:t>
      </w:r>
      <w:r>
        <w:t xml:space="preserve"> Its roads, refuges and depots are real OpenStreetMap geometry; its hazard field and terrain are labelled synthetic in the artifact's own provenance, the forward simulation needing a raw fire bundle this repository does not distribute. Its policy contrasts are the robust part; its absolute magnitudes are illustrative. The shipped ordering ranks dispatchable homes by urgency — ingress survival minus responder arrival, smallest closing window first — and Section 4.7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runs from -0.0363 at its 5th percentile to +0.0425 at its 95th.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its JSON path, the expression that re-derives it, its caveat, and the phrasings that misstate it; a gate re-derives every entry on every change, scans the prose for retired figures and quantity-name collisions, and refuses a document that states a registered quantity with a different value. Superseded values are annotated in place, never deleted. A second registry holds the claims this project has </w:t>
      </w:r>
      <w:r>
        <w:rPr>
          <w:b/>
        </w:rPr>
        <w:t>withdrawn</w:t>
      </w:r>
      <w:r>
        <w:t xml:space="preserve"> — what each asserted, what retired it, what should be said instead, and the spellings that restate it — and every tracked document is read against it, so a withdrawn claim cannot survive in a file nobody thought to list. It matches spellings, not meaning: in an independent probe, sentences reusing a registered spelling were caught and sentences reworded around one were not, and that limit is recorded rather than designed away. A further limit is not about matching at all, and it appeared in September 2026: some of this project's artifacts are </w:t>
      </w:r>
      <w:r>
        <w:rPr>
          <w:i/>
        </w:rPr>
        <w:t>generated</w:t>
      </w:r>
      <w:r>
        <w:t xml:space="preserve"> from templates, and a sentence that had just been retired was corrected in one generated file while the template it is built from kept it. Nothing was wrong in the artifact a reader saw and every gate passed, so the retired wording would have returned at the next rebuild. Had that sentence been a registered spelling the scan would have found it in the template, which the scan does read; it was not, so nothing did. The general point survives either way and needs no registry: a correction applied to a generated file is one rebuild from being undone. The repair was accordingly a test asserting that the generated file is its template line for line apart from the injected data, not a longer list of spellings. The injected line itself stays outside that test, and a wrong value inside it still passes every gate named here; that hole is open and recorded rather than repaired. This manuscript is scanned by both gates like any other document here.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70043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70043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rPr>
          <w:b/>
        </w:rPr>
        <w:t xml:space="preserve">Table 1. </w:t>
      </w:r>
      <w:r>
        <w:t>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much of this skill is real.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21931"/>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1931"/>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for the reasons given in Section 2 not comparable with published average precision elsewhere.</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[20]</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hazard awareness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at all for 2 (Fig. 4; the routes and the origins themselves are mapped in Fig. 5). No origin falls into the budget-exceeded class at 600 minutes, and none enters the hazard under the forecast-aware policy, which is structural: the policy refuses any node at or above the cutoff.</w:t>
      </w:r>
    </w:p>
    <w:p>
      <w:pPr>
        <w:jc w:val="center"/>
      </w:pPr>
      <w:r>
        <w:drawing>
          <wp:inline xmlns:a="http://schemas.openxmlformats.org/drawingml/2006/main" xmlns:pic="http://schemas.openxmlformats.org/drawingml/2006/picture">
            <wp:extent cx="5760000" cy="2094035"/>
            <wp:docPr id="4" name="Picture 4"/>
            <wp:cNvGraphicFramePr>
              <a:graphicFrameLocks noChangeAspect="1"/>
            </wp:cNvGraphicFramePr>
            <a:graphic>
              <a:graphicData uri="http://schemas.openxmlformats.org/drawingml/2006/picture">
                <pic:pic>
                  <pic:nvPicPr>
                    <pic:cNvPr id="0" name="F5_decision_shift.png"/>
                    <pic:cNvPicPr/>
                  </pic:nvPicPr>
                  <pic:blipFill>
                    <a:blip r:embed="rId12"/>
                    <a:stretch>
                      <a:fillRect/>
                    </a:stretch>
                  </pic:blipFill>
                  <pic:spPr>
                    <a:xfrm>
                      <a:off x="0" y="0"/>
                      <a:ext cx="5760000" cy="2094035"/>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fire-blind arm consults no hazard at all, present or forecast, so the shift between the two bars is what hazard awareness of any kind buys and not what the forecast alone buys (Section 4.3, third caveat).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pPr>
        <w:jc w:val="center"/>
      </w:pPr>
      <w:r>
        <w:drawing>
          <wp:inline xmlns:a="http://schemas.openxmlformats.org/drawingml/2006/main" xmlns:pic="http://schemas.openxmlformats.org/drawingml/2006/picture">
            <wp:extent cx="5760000" cy="3546588"/>
            <wp:docPr id="5" name="Picture 5"/>
            <wp:cNvGraphicFramePr>
              <a:graphicFrameLocks noChangeAspect="1"/>
            </wp:cNvGraphicFramePr>
            <a:graphic>
              <a:graphicData uri="http://schemas.openxmlformats.org/drawingml/2006/picture">
                <pic:pic>
                  <pic:nvPicPr>
                    <pic:cNvPr id="0" name="F8_routing_map.png"/>
                    <pic:cNvPicPr/>
                  </pic:nvPicPr>
                  <pic:blipFill>
                    <a:blip r:embed="rId13"/>
                    <a:stretch>
                      <a:fillRect/>
                    </a:stretch>
                  </pic:blipFill>
                  <pic:spPr>
                    <a:xfrm>
                      <a:off x="0" y="0"/>
                      <a:ext cx="5760000" cy="3546588"/>
                    </a:xfrm>
                    <a:prstGeom prst="rect"/>
                  </pic:spPr>
                </pic:pic>
              </a:graphicData>
            </a:graphic>
          </wp:inline>
        </w:drawing>
      </w:r>
    </w:p>
    <w:p>
      <w:pPr>
        <w:jc w:val="center"/>
      </w:pPr>
      <w:r>
        <w:rPr>
          <w:b/>
          <w:sz w:val="19"/>
        </w:rPr>
        <w:t xml:space="preserve">Figure 5. </w:t>
      </w:r>
      <w:r>
        <w:rPr>
          <w:sz w:val="19"/>
        </w:rPr>
        <w:t>The canonical Yeongdeok 2025 case on the SRTM hillshade. (a) Forecast P(ignite) at 720 min, the cells at P ≥ 0.5 at 0 min (teal), the 720-min 0.5 isoline (dashed), the reported ignition (star); the rectangle is the walk-network extent. (b) The walk network, the refuge nodes snapped from 50 OSM points of interest (triangles), all 458 scanned origins classed as in the committed artifact (414 safe on both routes, 42 safe only on the forecast-aware route, 2 with no safe walking route), and three example origins with the fire-blind shortest route (grey, dashed) against the forecast-aware route (red). Routes are recomputed at figure time with the repository's own router from the committed snapshots, and the recomputed partition equals the committed one; the isoline is drawn on a one-cell smoothing of the slice for display only.</w:t>
      </w:r>
    </w:p>
    <w:p>
      <w:r>
        <w:t xml:space="preserve">Three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in this paper carries that caveat; paired contrasts are unaffected, both arms using the same origins. </w:t>
      </w:r>
      <w:r>
        <w:rPr>
          <w:b/>
        </w:rPr>
        <w:t>Second, the field itself was reconstructed.</w:t>
      </w:r>
      <w:r>
        <w:t xml:space="preserve"> An earlier lineage of these counts came from a run reverted the next day, and the "quasi-static fire core" limitation recorded against those numbers was a property of that reverted field, not of the fire: on the canonical field the core grows by 316.06 % from the first slice to the last. The two lineages differ on more than one axis, so the movement between them is not a single-variable contrast and no per-origin ledger exists.</w:t>
      </w:r>
    </w:p>
    <w:p>
      <w:r>
        <w:rPr>
          <w:b/>
        </w:rPr>
        <w:t>Third, the counterfactual is a fire-blind walk.</w:t>
      </w:r>
      <w:r>
        <w:t xml:space="preserve"> The baseline consults no hazard at all, present or forecast, so the 42 measure what hazard awareness of any kind buys, not what the forecast alone buys: a router refusing only the cells alight at departure would recover an unmeasured share of them. This is a coupling effect, not a forecasting effect. That arm has since been run, on a different region and against that region's own fire-blind contrast, and Section 4.5 reports it; it has not been run over these 458 origins. </w:t>
      </w:r>
      <w:r>
        <w:rPr>
          <w:i/>
          <w:color w:val="B42318"/>
        </w:rPr>
        <w:t>[GAP: the present-perimeter baseline over the canonical Yeongdeok origins, which is what would separate the two effects on this field rather than on another one]</w:t>
      </w:r>
    </w:p>
    <w:p>
      <w:pPr>
        <w:pStyle w:val="Heading2"/>
      </w:pPr>
      <w:r>
        <w:t>4.4 Three regions under one rule</w:t>
      </w:r>
    </w:p>
    <w:p>
      <w:r>
        <w:t>The same rule, parameters and stride ran over two further regions acquired identically (Fig. 6, Table 2).</w:t>
      </w:r>
    </w:p>
    <w:p>
      <w:pPr>
        <w:jc w:val="center"/>
      </w:pPr>
      <w:r>
        <w:drawing>
          <wp:inline xmlns:a="http://schemas.openxmlformats.org/drawingml/2006/main" xmlns:pic="http://schemas.openxmlformats.org/drawingml/2006/picture">
            <wp:extent cx="5760000" cy="2681125"/>
            <wp:docPr id="6" name="Picture 6"/>
            <wp:cNvGraphicFramePr>
              <a:graphicFrameLocks noChangeAspect="1"/>
            </wp:cNvGraphicFramePr>
            <a:graphic>
              <a:graphicData uri="http://schemas.openxmlformats.org/drawingml/2006/picture">
                <pic:pic>
                  <pic:nvPicPr>
                    <pic:cNvPr id="0" name="F3_regions.png"/>
                    <pic:cNvPicPr/>
                  </pic:nvPicPr>
                  <pic:blipFill>
                    <a:blip r:embed="rId14"/>
                    <a:stretch>
                      <a:fillRect/>
                    </a:stretch>
                  </pic:blipFill>
                  <pic:spPr>
                    <a:xfrm>
                      <a:off x="0" y="0"/>
                      <a:ext cx="5760000" cy="2681125"/>
                    </a:xfrm>
                    <a:prstGeom prst="rect"/>
                  </pic:spPr>
                </pic:pic>
              </a:graphicData>
            </a:graphic>
          </wp:inline>
        </w:drawing>
      </w:r>
    </w:p>
    <w:p>
      <w:pPr>
        <w:jc w:val="center"/>
      </w:pPr>
      <w:r>
        <w:rPr>
          <w:b/>
          <w:sz w:val="19"/>
        </w:rPr>
        <w:t xml:space="preserve">Figure 6.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rPr>
          <w:b/>
        </w:rPr>
        <w:t xml:space="preserve">Table 2. </w:t>
      </w:r>
      <w:r>
        <w:t>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All three are measured against the same fire-blind baseline, so §4.3's third caveat binds them too.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as zero dispatches.</w:t>
      </w:r>
    </w:p>
    <w:p>
      <w:r>
        <w:t>One column of that table needs a qualification the next section's run supplied. The committed classification scores the fire-blind route under no time budget while the forecast-aware router enforces one internally, so the two arms are read under different rules. The over-budget column is the only bucket in the series that runs against the system — its registered meaning is that the fire-blind route is safe and the forecast-aware route is not — and at Uiseong-Andong its 2 origins have fire-blind arrival times past that budget. Under one budget applied to both arms they are origins no arm saves, rather than origins on which the forecast lost. The two arrival times are values of the Section 4.5 arm and are withheld for the reason that section gives. The committed value is not moved and this paper reports the qualification rather than a correction. Of the other two regions, Uljin-Samcheok has not been re-read under the uniform rule and Yeongdeok cannot be, its walk graph of that vintage no longer being recoverable.</w:t>
      </w:r>
    </w:p>
    <w:p>
      <w:pPr>
        <w:pStyle w:val="Heading2"/>
      </w:pPr>
      <w:r>
        <w:t>4.5 The fair opponent: refusing where the fire is now</w:t>
      </w:r>
    </w:p>
    <w:p>
      <w:r>
        <w:t>Section 4.3's third caveat names the weakness of a fire-blind baseline, and on one region it has now been measured rather than conceded. A present-perimeter policy is what a county office can run with no model at all: refuse every node within a fixed buffer of the cells burning at the departure slice, drop any refuge that falls inside the buffer, and take the shortest remaining path. Run over the same Uiseong-Andong origins, refuges and hazard field as the two arms of Section 4.4, scored by the same function and with one 600-minute budget applied to all three arms, it recovers most of the origins that region's fire-blind contrast credits to the forecast-aware policy. The run reproduces the committed classification — every bucket count, and the origin identities of every bucket the committed artifact stores — before it measures anything, which is the warrant for reading its column beside the other two.</w:t>
      </w:r>
    </w:p>
    <w:p>
      <w:r>
        <w:t xml:space="preserve">This paper states no count from that arm, and the reason is itself a result. The row was built twice, independently and concurrently, on the same origins and the same field, by two different constructions of the opponent. One prunes the refused nodes out of the graph and runs the same distance-minimising search as the fire-blind control, under no time budget. The other runs the time-expanded, time-minimising router against a frozen binary hazard, holds it to the 600-minute budget, and lets it refuse to let a walker already inside the buffer set out at all. Both reproduce the committed classification first, both are internally consistent, and they disagree substantially on what the forecast is then still worth. Which of them is the fair opponent is a modelling choice the project has not made, and it is not one an analysis settles by preferring its own. The registry governing these values also requires the disputed quantity to travel with any count taken from the arm, so this section quotes none of them and names the dispute instead. </w:t>
      </w:r>
      <w:r>
        <w:rPr>
          <w:i/>
          <w:color w:val="B42318"/>
        </w:rPr>
        <w:t>[GAP: which build of the present-perimeter opponent defines the comparison, and therefore what the forecast's residual advantage over it is]</w:t>
      </w:r>
    </w:p>
    <w:p>
      <w:r>
        <w:t>The buffer width is a second free parameter and nothing in the data chooses it. The committed arm was run at five widths, and across them the opponent's failures change in kind rather than simply shrinking: at the two narrowest the buffer sits inside the fire's own growth and most failures are routes that cross ground which is alight by the time the walker reaches it, while at the two widest most failures are refuges reached only after the evacuation budget has expired, with a few origins walled off from every refuge. That breakdown by failure type is the committed arm's alone; what both constructions agree on is the coarser statement — thin buffers send walkers through burning ground, wide ones strand them — which is why the change of kind is stated here and the counts are not. They do not agree on which buffer width comes off best either, so the dispute above is not confined to the residual it leaves. What the run does not support is any statement about whether a workable width could be chosen in advance: the five widths differ by factors of two, so the grid holds a single point in the region such a claim would be about. One document in the repository still draws the stronger conclusion from those same five points, as do the caveats the registry carries on this arm's own entries; a second document was narrowed to this reading while this paper was being revised, and the rest is an open item there.</w:t>
      </w:r>
    </w:p>
    <w:p>
      <w:r>
        <w:t xml:space="preserve">Two caveats bind the whole comparison. The forecast-aware arm plans on the same hazard field it is graded against, so whatever it is worth against a present-perimeter policy is what a </w:t>
      </w:r>
      <w:r>
        <w:rPr>
          <w:i/>
        </w:rPr>
        <w:t>noiseless</w:t>
      </w:r>
      <w:r>
        <w:t xml:space="preserve"> forecast is worth; this project's own model is worth less, by an amount no run here measures. And this is one fire, one ignition and one departure time: which buffer comes off best is a property of this fire's growth against this road network, and no run tests it on a second one.</w:t>
      </w:r>
    </w:p>
    <w:p>
      <w:pPr>
        <w:pStyle w:val="Heading2"/>
      </w:pPr>
      <w:r>
        <w:t>4.6 Sensitivity and controls</w:t>
      </w:r>
    </w:p>
    <w:p>
      <w:pPr>
        <w:jc w:val="center"/>
      </w:pPr>
      <w:r>
        <w:drawing>
          <wp:inline xmlns:a="http://schemas.openxmlformats.org/drawingml/2006/main" xmlns:pic="http://schemas.openxmlformats.org/drawingml/2006/picture">
            <wp:extent cx="5760000" cy="2270283"/>
            <wp:docPr id="7" name="Picture 7"/>
            <wp:cNvGraphicFramePr>
              <a:graphicFrameLocks noChangeAspect="1"/>
            </wp:cNvGraphicFramePr>
            <a:graphic>
              <a:graphicData uri="http://schemas.openxmlformats.org/drawingml/2006/picture">
                <pic:pic>
                  <pic:nvPicPr>
                    <pic:cNvPr id="0" name="F6_sensitivity.png"/>
                    <pic:cNvPicPr/>
                  </pic:nvPicPr>
                  <pic:blipFill>
                    <a:blip r:embed="rId15"/>
                    <a:stretch>
                      <a:fillRect/>
                    </a:stretch>
                  </pic:blipFill>
                  <pic:spPr>
                    <a:xfrm>
                      <a:off x="0" y="0"/>
                      <a:ext cx="5760000" cy="2270283"/>
                    </a:xfrm>
                    <a:prstGeom prst="rect"/>
                  </pic:spPr>
                </pic:pic>
              </a:graphicData>
            </a:graphic>
          </wp:inline>
        </w:drawing>
      </w:r>
    </w:p>
    <w:p>
      <w:pPr>
        <w:jc w:val="center"/>
      </w:pPr>
      <w:r>
        <w:rPr>
          <w:b/>
          <w:sz w:val="19"/>
        </w:rPr>
        <w:t xml:space="preserve">Figure 7.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one committed route pair as the forecast field is dilated, with the pedestrian cutoff and the radius at which the forecast-aware route first crosses it. ⚠ Scope: that pair is a real pipeline output but its origin differs from the committed </w:t>
      </w:r>
      <w:r>
        <w:rPr>
          <w:rFonts w:ascii="Consolas" w:hAnsi="Consolas"/>
          <w:sz w:val="19"/>
        </w:rPr>
        <w:t>routing_demo.json</w:t>
      </w:r>
      <w:r>
        <w:rPr>
          <w:sz w:val="19"/>
        </w:rPr>
        <w:t xml:space="preserve"> headline case, so both artifacts state their result as robustness of the routing </w:t>
      </w:r>
      <w:r>
        <w:rPr>
          <w:i/>
          <w:sz w:val="19"/>
        </w:rPr>
        <w:t>method</w:t>
      </w:r>
      <w:r>
        <w:rPr>
          <w:sz w:val="19"/>
        </w:rPr>
        <w:t xml:space="preserve"> and not a restatement of the headline.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(Fig. 7, left), the share of origins whose fire-blind route fails rises from 0.0961 at 600 minutes to 0.5655 at 30 minutes, a ratio of 5.89. A short-budget failure share is meaningless without its budget attached. The forecast-aware class stays empty here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w:t>
      </w:r>
    </w:p>
    <w:p>
      <w:r>
        <w:rPr>
          <w:b/>
        </w:rPr>
        <w:t>Terrain changes how people walk, not whether they arrive.</w:t>
      </w:r>
      <w:r>
        <w:t xml:space="preserve"> Applying real slope to edge times raises whole-network traversal time by 26.6 % at Yeongdeok at 60 m sampling (15.14 % and 23.67 % in the two other regions), with a mean directional asymmetry of 0.1996 of flat time — which is why the walking graph is directed. Yet the classification barely moves (Fig. 7, centre): 42 origins are safe only on the forecast-aware route at 30 m and 60 m sampling and 41 at 90 m, against 41 in the flat control, and the number whose bucket differs from the flat control at all three intervals is </w:t>
      </w:r>
      <w:r>
        <w:rPr>
          <w:b/>
        </w:rPr>
        <w:t>zero</w:t>
      </w:r>
      <w:r>
        <w:t>, while 179 forecast-aware routes, 39.1 %, differ from the flat control at 60 m. Switching the objective from distance to time under slope timing changes 150 of 458 routes and cuts the longest walk from 444.0 to 352.8 minutes; the flat control changes 0 routes, as it must.</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w:t>
      </w:r>
    </w:p>
    <w:p>
      <w:r>
        <w:rPr>
          <w:b/>
        </w:rPr>
        <w:t>The road network itself is a source of uncertainty.</w:t>
      </w:r>
      <w:r>
        <w:t xml:space="preserve"> Re-acquiring the OpenStreetMap network eleven months later changed the walk-graph node count by 0.0474 % and moved the count of origins with no surviving vehicle ingress by 33.3 % (24 to 32), while the paired exposure-reduction contrast moved by 0.5614 percentage points. Neither network is the right one; the reported quantity is sensitivity, and it says binary verdicts are network-fragile where paired contrasts are not.</w:t>
      </w:r>
    </w:p>
    <w:p>
      <w:pPr>
        <w:pStyle w:val="Heading2"/>
      </w:pPr>
      <w:r>
        <w:t>4.7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synthetic hazard field (Section 3.4) on the responder side only, not an absolute safety guarantee. 57 of the 143 shortest-path routes cross the hazard, which is what the survival-aware policy avoids.</w:t>
      </w:r>
    </w:p>
    <w:p>
      <w:r>
        <w:t>The dispatch ordering is negative, and reported as such. It carries a different lineage, stated in the caption of Fig. 8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96797"/>
            <wp:docPr id="8" name="Picture 8"/>
            <wp:cNvGraphicFramePr>
              <a:graphicFrameLocks noChangeAspect="1"/>
            </wp:cNvGraphicFramePr>
            <a:graphic>
              <a:graphicData uri="http://schemas.openxmlformats.org/drawingml/2006/picture">
                <pic:pic>
                  <pic:nvPicPr>
                    <pic:cNvPr id="0" name="F7_dispatch_ordering.png"/>
                    <pic:cNvPicPr/>
                  </pic:nvPicPr>
                  <pic:blipFill>
                    <a:blip r:embed="rId16"/>
                    <a:stretch>
                      <a:fillRect/>
                    </a:stretch>
                  </pic:blipFill>
                  <pic:spPr>
                    <a:xfrm>
                      <a:off x="0" y="0"/>
                      <a:ext cx="5760000" cy="2296797"/>
                    </a:xfrm>
                    <a:prstGeom prst="rect"/>
                  </pic:spPr>
                </pic:pic>
              </a:graphicData>
            </a:graphic>
          </wp:inline>
        </w:drawing>
      </w:r>
    </w:p>
    <w:p>
      <w:pPr>
        <w:jc w:val="center"/>
      </w:pPr>
      <w:r>
        <w:rPr>
          <w:b/>
          <w:sz w:val="19"/>
        </w:rPr>
        <w:t xml:space="preserve">Figure 8.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Table 3 tallies deadline-first against nearest-first on two grids: the headline grid of Fig. 8, and an exploratory grid that widens the window axis to twelve points to look for an operating region where the shipped ordering would pay.</w:t>
      </w:r>
    </w:p>
    <w:p>
      <w:r>
        <w:rPr>
          <w:b/>
        </w:rPr>
        <w:t xml:space="preserve">Table 3. </w:t>
      </w:r>
      <w:r>
        <w:t>Deadline-first against nearest-first, on the headline grid and on a widened window axis. The headline grid is four arms by two windows by three service times by three dispatch delays by five team counts; the widened grid replaces the two windows with twelve points from 60 to 600 minutes. Both carry the lineage stated in the caption of Fig. 8. Each entry is a number of configuration cells and its share of that row's grid; these are cells, not people. Every one of the headline grid's 13 wins falls at the exploratory 240-minute window, so the committed-window row is the operationally relevant one. The per-window cell count on the widened axis is its 2,160 cells over twelve window points.</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grid</w:t>
            </w:r>
          </w:p>
        </w:tc>
        <w:tc>
          <w:tcPr>
            <w:tcW w:type="dxa" w:w="1860"/>
          </w:tcPr>
          <w:p>
            <w:r>
              <w:rPr>
                <w:b/>
                <w:sz w:val="19"/>
              </w:rPr>
            </w:r>
            <w:r>
              <w:rPr>
                <w:b/>
                <w:sz w:val="19"/>
              </w:rPr>
              <w:t>cells</w:t>
            </w:r>
          </w:p>
        </w:tc>
        <w:tc>
          <w:tcPr>
            <w:tcW w:type="dxa" w:w="1860"/>
          </w:tcPr>
          <w:p>
            <w:r>
              <w:rPr>
                <w:b/>
                <w:sz w:val="19"/>
              </w:rPr>
            </w:r>
            <w:r>
              <w:rPr>
                <w:b/>
                <w:sz w:val="19"/>
              </w:rPr>
              <w:t>wins</w:t>
            </w:r>
          </w:p>
        </w:tc>
        <w:tc>
          <w:tcPr>
            <w:tcW w:type="dxa" w:w="1860"/>
          </w:tcPr>
          <w:p>
            <w:r>
              <w:rPr>
                <w:b/>
                <w:sz w:val="19"/>
              </w:rPr>
            </w:r>
            <w:r>
              <w:rPr>
                <w:b/>
                <w:sz w:val="19"/>
              </w:rPr>
              <w:t>ties</w:t>
            </w:r>
          </w:p>
        </w:tc>
        <w:tc>
          <w:tcPr>
            <w:tcW w:type="dxa" w:w="1860"/>
          </w:tcPr>
          <w:p>
            <w:r>
              <w:rPr>
                <w:b/>
                <w:sz w:val="19"/>
              </w:rPr>
            </w:r>
            <w:r>
              <w:rPr>
                <w:b/>
                <w:sz w:val="19"/>
              </w:rPr>
              <w:t>losses</w:t>
            </w:r>
          </w:p>
        </w:tc>
      </w:tr>
      <w:tr>
        <w:tc>
          <w:tcPr>
            <w:tcW w:type="dxa" w:w="1860"/>
          </w:tcPr>
          <w:p>
            <w:r>
              <w:rPr>
                <w:sz w:val="19"/>
              </w:rPr>
            </w:r>
            <w:r>
              <w:rPr>
                <w:sz w:val="19"/>
              </w:rPr>
              <w:t>Headline, both windows</w:t>
            </w:r>
          </w:p>
        </w:tc>
        <w:tc>
          <w:tcPr>
            <w:tcW w:type="dxa" w:w="1860"/>
          </w:tcPr>
          <w:p>
            <w:r>
              <w:rPr>
                <w:sz w:val="19"/>
              </w:rPr>
            </w:r>
            <w:r>
              <w:rPr>
                <w:sz w:val="19"/>
              </w:rPr>
              <w:t>360</w:t>
            </w:r>
          </w:p>
        </w:tc>
        <w:tc>
          <w:tcPr>
            <w:tcW w:type="dxa" w:w="1860"/>
          </w:tcPr>
          <w:p>
            <w:r>
              <w:rPr>
                <w:sz w:val="19"/>
              </w:rPr>
            </w:r>
            <w:r>
              <w:rPr>
                <w:sz w:val="19"/>
              </w:rPr>
              <w:t>13 (3.6 %)</w:t>
            </w:r>
          </w:p>
        </w:tc>
        <w:tc>
          <w:tcPr>
            <w:tcW w:type="dxa" w:w="1860"/>
          </w:tcPr>
          <w:p>
            <w:r>
              <w:rPr>
                <w:sz w:val="19"/>
              </w:rPr>
            </w:r>
            <w:r>
              <w:rPr>
                <w:sz w:val="19"/>
              </w:rPr>
              <w:t>132 (36.7 %)</w:t>
            </w:r>
          </w:p>
        </w:tc>
        <w:tc>
          <w:tcPr>
            <w:tcW w:type="dxa" w:w="1860"/>
          </w:tcPr>
          <w:p>
            <w:r>
              <w:rPr>
                <w:sz w:val="19"/>
              </w:rPr>
            </w:r>
            <w:r>
              <w:rPr>
                <w:sz w:val="19"/>
              </w:rPr>
              <w:t>215 (59.7 %)</w:t>
            </w:r>
          </w:p>
        </w:tc>
      </w:tr>
      <w:tr>
        <w:tc>
          <w:tcPr>
            <w:tcW w:type="dxa" w:w="1860"/>
          </w:tcPr>
          <w:p>
            <w:r>
              <w:rPr>
                <w:sz w:val="19"/>
              </w:rPr>
            </w:r>
            <w:r>
              <w:rPr>
                <w:sz w:val="19"/>
              </w:rPr>
              <w:t>Headline, committed 75-min window</w:t>
            </w:r>
          </w:p>
        </w:tc>
        <w:tc>
          <w:tcPr>
            <w:tcW w:type="dxa" w:w="1860"/>
          </w:tcPr>
          <w:p>
            <w:r>
              <w:rPr>
                <w:sz w:val="19"/>
              </w:rPr>
            </w:r>
            <w:r>
              <w:rPr>
                <w:sz w:val="19"/>
              </w:rPr>
              <w:t>180</w:t>
            </w:r>
          </w:p>
        </w:tc>
        <w:tc>
          <w:tcPr>
            <w:tcW w:type="dxa" w:w="1860"/>
          </w:tcPr>
          <w:p>
            <w:r>
              <w:rPr>
                <w:sz w:val="19"/>
              </w:rPr>
            </w:r>
            <w:r>
              <w:rPr>
                <w:b/>
                <w:sz w:val="19"/>
              </w:rPr>
              <w:t>0</w:t>
            </w:r>
            <w:r>
              <w:rPr>
                <w:sz w:val="19"/>
              </w:rPr>
              <w:t xml:space="preserve"> (0.0 %)</w:t>
            </w:r>
          </w:p>
        </w:tc>
        <w:tc>
          <w:tcPr>
            <w:tcW w:type="dxa" w:w="1860"/>
          </w:tcPr>
          <w:p>
            <w:r>
              <w:rPr>
                <w:sz w:val="19"/>
              </w:rPr>
            </w:r>
            <w:r>
              <w:rPr>
                <w:sz w:val="19"/>
              </w:rPr>
              <w:t>88 (48.9 %)</w:t>
            </w:r>
          </w:p>
        </w:tc>
        <w:tc>
          <w:tcPr>
            <w:tcW w:type="dxa" w:w="1860"/>
          </w:tcPr>
          <w:p>
            <w:r>
              <w:rPr>
                <w:sz w:val="19"/>
              </w:rPr>
            </w:r>
            <w:r>
              <w:rPr>
                <w:sz w:val="19"/>
              </w:rPr>
              <w:t>92 (51.1 %)</w:t>
            </w:r>
          </w:p>
        </w:tc>
      </w:tr>
      <w:tr>
        <w:tc>
          <w:tcPr>
            <w:tcW w:type="dxa" w:w="1860"/>
          </w:tcPr>
          <w:p>
            <w:r>
              <w:rPr>
                <w:sz w:val="19"/>
              </w:rPr>
            </w:r>
            <w:r>
              <w:rPr>
                <w:sz w:val="19"/>
              </w:rPr>
              <w:t>Widened window axis, 60–600 min</w:t>
            </w:r>
          </w:p>
        </w:tc>
        <w:tc>
          <w:tcPr>
            <w:tcW w:type="dxa" w:w="1860"/>
          </w:tcPr>
          <w:p>
            <w:r>
              <w:rPr>
                <w:sz w:val="19"/>
              </w:rPr>
            </w:r>
            <w:r>
              <w:rPr>
                <w:sz w:val="19"/>
              </w:rPr>
              <w:t>2,160</w:t>
            </w:r>
          </w:p>
        </w:tc>
        <w:tc>
          <w:tcPr>
            <w:tcW w:type="dxa" w:w="1860"/>
          </w:tcPr>
          <w:p>
            <w:r>
              <w:rPr>
                <w:sz w:val="19"/>
              </w:rPr>
            </w:r>
            <w:r>
              <w:rPr>
                <w:sz w:val="19"/>
              </w:rPr>
              <w:t>115 (5.3 %)</w:t>
            </w:r>
          </w:p>
        </w:tc>
        <w:tc>
          <w:tcPr>
            <w:tcW w:type="dxa" w:w="1860"/>
          </w:tcPr>
          <w:p>
            <w:r>
              <w:rPr>
                <w:sz w:val="19"/>
              </w:rPr>
            </w:r>
            <w:r>
              <w:rPr>
                <w:sz w:val="19"/>
              </w:rPr>
              <w:t>561 (26.0 %)</w:t>
            </w:r>
          </w:p>
        </w:tc>
        <w:tc>
          <w:tcPr>
            <w:tcW w:type="dxa" w:w="1860"/>
          </w:tcPr>
          <w:p>
            <w:r>
              <w:rPr>
                <w:sz w:val="19"/>
              </w:rPr>
            </w:r>
            <w:r>
              <w:rPr>
                <w:sz w:val="19"/>
              </w:rPr>
              <w:t>1,484 (68.7 %)</w:t>
            </w:r>
          </w:p>
        </w:tc>
      </w:tr>
      <w:tr>
        <w:tc>
          <w:tcPr>
            <w:tcW w:type="dxa" w:w="1860"/>
          </w:tcPr>
          <w:p>
            <w:r>
              <w:rPr>
                <w:sz w:val="19"/>
              </w:rPr>
            </w:r>
            <w:r>
              <w:rPr>
                <w:sz w:val="19"/>
              </w:rPr>
              <w:t>Widened axis, at the 600-min window</w:t>
            </w:r>
          </w:p>
        </w:tc>
        <w:tc>
          <w:tcPr>
            <w:tcW w:type="dxa" w:w="1860"/>
          </w:tcPr>
          <w:p>
            <w:r>
              <w:rPr>
                <w:sz w:val="19"/>
              </w:rPr>
            </w:r>
            <w:r>
              <w:rPr>
                <w:sz w:val="19"/>
              </w:rPr>
              <w:t>180</w:t>
            </w:r>
          </w:p>
        </w:tc>
        <w:tc>
          <w:tcPr>
            <w:tcW w:type="dxa" w:w="1860"/>
          </w:tcPr>
          <w:p>
            <w:r>
              <w:rPr>
                <w:sz w:val="19"/>
              </w:rPr>
            </w:r>
            <w:r>
              <w:rPr>
                <w:sz w:val="19"/>
              </w:rPr>
              <w:t>22 (12.2 %)</w:t>
            </w:r>
          </w:p>
        </w:tc>
        <w:tc>
          <w:tcPr>
            <w:tcW w:type="dxa" w:w="1860"/>
          </w:tcPr>
          <w:p>
            <w:r>
              <w:rPr>
                <w:sz w:val="19"/>
              </w:rPr>
            </w:r>
            <w:r>
              <w:rPr>
                <w:sz w:val="19"/>
              </w:rPr>
              <w:t>22 (12.2 %)</w:t>
            </w:r>
          </w:p>
        </w:tc>
        <w:tc>
          <w:tcPr>
            <w:tcW w:type="dxa" w:w="1860"/>
          </w:tcPr>
          <w:p>
            <w:r>
              <w:rPr>
                <w:sz w:val="19"/>
              </w:rPr>
            </w:r>
            <w:r>
              <w:rPr>
                <w:sz w:val="19"/>
              </w:rPr>
              <w:t>136 (75.6 %)</w:t>
            </w:r>
          </w:p>
        </w:tc>
      </w:tr>
    </w:tbl>
    <w:p/>
    <w:p>
      <w:r>
        <w:t>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 Over the widened axis it beats unsorted order in only 31.5 % of cells and the random mean in 37.8 %.</w:t>
      </w:r>
    </w:p>
    <w:p>
      <w:r>
        <w:t xml:space="preserve">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 Widening the window does not repair that: the first win comes at 120 minutes, and neither a window threshold nor the number of distinct deadlines separates a winning region, 1,580 cells failing to win despite having at least as many deadlines as the lowest-scoring winning cell. No operating region recommends the shipped ordering, and the paper does not construct one. What the analysis does establish positively is reproducibility: re-deriving 3,744 values from the earlier run cell by cell produced </w:t>
      </w:r>
      <w:r>
        <w:rPr>
          <w:b/>
        </w:rPr>
        <w:t>0</w:t>
      </w:r>
      <w:r>
        <w:t xml:space="preserve"> differences.</w:t>
      </w:r>
    </w:p>
    <w:p>
      <w:pPr>
        <w:pStyle w:val="Heading2"/>
      </w:pPr>
      <w:r>
        <w:t>4.8 How early could a satellite have seen these fires?</w:t>
      </w:r>
    </w:p>
    <w:p>
      <w:r>
        <w:t xml:space="preserve">Four of the six fires fall inside the GK2A archive and three produced a detection under the rule of Section 3.1 (Table 4). In each, the first satellite-detectable anomaly follows the fire's recorded occurrence time by 22 to 64 minutes. </w:t>
      </w:r>
      <w:r>
        <w:rPr>
          <w:b/>
        </w:rPr>
        <w:t>That reference clock is the weakest part of the measurement and we do not lean on it</w:t>
      </w:r>
      <w:r>
        <w:t>, for the reasons given in the caption and in Section 5.</w:t>
      </w:r>
    </w:p>
    <w:p>
      <w:r>
        <w:rPr>
          <w:b/>
        </w:rPr>
        <w:t xml:space="preserve">Table 4. </w:t>
      </w:r>
      <w:r>
        <w:t xml:space="preserve">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nowhere says what the field is;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[19]</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not an operating characteristic. What survives is narrow: a 2 km pixel does not see a fire until it is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will the fire be"; a household needs "is my route still passable when I get there", and the two differ because a slow walker's arrival time is a variable in the answer. Section 4.3 is the measurable form of that difference, and Section 4.5 bounds how much of it belongs to the forecast rather than to hazard awareness of any kind: on the one region where the stronger opponent has been built, most of the same origins are recovered by refusing where the fire is now, with no model at all. It is not a claim that the system knows where the fire will be: the router needs ranking quality, not per-cell precision, because it cuts a cumulative, survival-accumulated surface at its own threshold. That the surface itself goes unchecked is the first limitation in Section 6.</w:t>
      </w:r>
    </w:p>
    <w:p>
      <w:r>
        <w:rPr>
          <w:b/>
        </w:rPr>
        <w:t>Why n = 6 forbids a threshold guarantee.</w:t>
      </w:r>
      <w:r>
        <w:t xml:space="preserve"> Section 4.2 quantifies why the intuition that a distribution-free method rescues a small-sample setting is wrong: small-N event datasets do not get guarantees by changing the calibration method, but by having more events.</w:t>
      </w:r>
    </w:p>
    <w:p>
      <w:r>
        <w:rPr>
          <w:b/>
        </w:rPr>
        <w:t>Where the trigger comes from, and where the warning goes.</w:t>
      </w:r>
      <w:r>
        <w:t xml:space="preserve"> Section 4.8 establishes a floor: a 2 km geostationary pixel cannot see a fire below roughly a hectare, so a satellite trigger cannot be an ignition-scale alarm whatever its cadence, and the system treats it as corroboration. A floor of that kind rules a source out of the primary slot; it puts nothing into it. The project's design notes had drawn two further readings from it and both are </w:t>
      </w:r>
      <w:r>
        <w:rPr>
          <w:b/>
        </w:rPr>
        <w:t>withdrawn</w:t>
      </w:r>
      <w:r>
        <w:t>, with no number moving: that the satellite arrives after the emergency call, whose time no artifact here records, and that human report is therefore the primary channel — a channel this repository has never measured. The system is built to the narrow statement rather than its converse. The survey evidence at the other end is firmer, and is the measured reason the outputs are a sheet a village head can read aloud and a household-ordered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 The same discipline stopped an input before it reached this paper: a designated-site subset labelled with a county name was refused when its points proved to lie outside that county's own study box — a label checked against the geometry it claims rather than against a code table. It was re-cut on the right administrative code, and only then used as the inventory Section 6 reports.</w:t>
      </w:r>
    </w:p>
    <w:p>
      <w:r>
        <w:rPr>
          <w:b/>
        </w:rPr>
        <w:t>What outside readers asked first.</w:t>
      </w:r>
      <w:r>
        <w:t xml:space="preserve"> Three domain researchers replied in writing to the author in September 2026; their comments are design feedback rather than data. One of them put two questions that nothing measured here answers: whether prioritising rescue need by age alone stays appropriate in an ageing population, and whether these results are usable without modelling how forest-fire suppression and residential emergency response divide roles during a fire. Another's off-network walking point is a limitation in Section 6.</w:t>
      </w:r>
    </w:p>
    <w:p>
      <w:r>
        <w:rPr>
          <w:i/>
          <w:color w:val="B42318"/>
        </w:rPr>
        <w:t>[GAP: the practitioner consultations — a fire-service duty officer, a village head and a social worker — have not happened; they are design feedback rather than collected data, and any quotation from them needs the author's consent handling first]</w:t>
      </w:r>
    </w:p>
    <w:p>
      <w:pPr>
        <w:pStyle w:val="Heading1"/>
      </w:pPr>
      <w:r>
        <w:t>6. Limitations</w:t>
      </w:r>
    </w:p>
    <w:p>
      <w:r>
        <w:rPr>
          <w:b/>
        </w:rPr>
        <w:t>The routing result is graded against the predicted field, not against observed burn.</w:t>
      </w:r>
      <w:r>
        <w:t xml:space="preserve"> This is the objection we would raise first against this paper. An origin counted in the 42 is one whose fire-blind route crosses a cell the </w:t>
      </w:r>
      <w:r>
        <w:rPr>
          <w:i/>
        </w:rPr>
        <w:t>model</w:t>
      </w:r>
      <w:r>
        <w:t xml:space="preserve"> flagged and whose forecast-aware route does not: a statement about two policies read on one surface, not that the fire went where the surface said. At Section 4.2's operating point the same evidence is consistent with detours around cells that never burned, and with burned cells the model never flagged left unavoided under both policies. Every control here perturbs the predicted field, so none admits external truth. </w:t>
      </w:r>
      <w:r>
        <w:rPr>
          <w:i/>
          <w:color w:val="B42318"/>
        </w:rPr>
        <w:t>[GAP: settling this needs a third routing pass over the same 458 origins on a hindsight field rasterised from the observed FIRMS detections, reporting how many of the 42 fire-blind routes intersect observed burn inside the walker's arrival window. Those detections are not distributed with the repository, and the two committed manifests for this fire place its ignition point about 30 km apart]</w:t>
      </w:r>
    </w:p>
    <w:p>
      <w:r>
        <w:rPr>
          <w:b/>
        </w:rPr>
        <w:t>The counterfactual was weak, and the stronger one is run on only one region.</w:t>
      </w:r>
      <w:r>
        <w:t xml:space="preserve"> Every contrast in Sections 4.3 and 4.4 is against a fire-blind baseline. Section 4.5 replaces it on Uiseong-Andong with a present-perimeter opponent and most of that region's contrast does not survive the substitution. The same substitution has not been made on the canonical Yeongdeok field, so the 42 of Section 4.3 remains a fire-blind contrast and must be read as one; and even where the substitution has been made, the residual difference is not reported, because two defensible builds of that opponent disagree about it.</w:t>
      </w:r>
    </w:p>
    <w:p>
      <w:r>
        <w:rPr>
          <w:b/>
        </w:rPr>
        <w:t>Six fires, and not six independent ones.</w:t>
      </w:r>
      <w:r>
        <w:t xml:space="preserve"> Because Uiseong-Andong 2025 and Yeongdeok 2025 belong to one chain (Section 3.1), the Yeongdeok fold's training data may contain cells of the same fire complex as the fire it is scored on, and a leak-free refit has not been run. </w:t>
      </w:r>
      <w:r>
        <w:rPr>
          <w:i/>
          <w:color w:val="B42318"/>
        </w:rPr>
        <w:t>[GAP: refitting that fold with the co-located fire excluded, re-simulating its field and routing the same 458 origins needs the raw acquisition bundle the repository does not distribute; this is the experiment most likely to move the 42-origin result]</w:t>
      </w:r>
    </w:p>
    <w:p>
      <w:r>
        <w:rPr>
          <w:b/>
        </w:rPr>
        <w:t>Coverage</w:t>
      </w:r>
      <w:r>
        <w:t>: every absolute Yeongdeok rate rests on a walk network holding 32.6 % of that fire's predicted core (Section 4.3).</w:t>
      </w:r>
    </w:p>
    <w:p>
      <w:r>
        <w:rPr>
          <w:b/>
        </w:rPr>
        <w:t>Origins are not households, and no interval attaches to a share of them.</w:t>
      </w:r>
      <w:r>
        <w:t xml:space="preserve"> They are walk-graph nodes at a fixed stride, so their distribution reflects road-network structure. They are also not a probability sample: the 458 are a deterministic systematic subsample — every 18th of the walk graph's 8,443 nodes, then filtered by the hazard at time zero and by a band around the predicted core — so no design-based standard error is defined for the shares in Sections 4.3 and 4.4, and neighbouring origins are not independent.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 named "forecast-aware route exceeds budget" names a cause its code condition does not establish; it is empty at Yeongdeok, and elsewhere the search did not complete within the scan's constraints. None was fixed; all divide out of the paired contrasts.</w:t>
      </w:r>
    </w:p>
    <w:p>
      <w:r>
        <w:rPr>
          <w:b/>
        </w:rPr>
        <w:t>A pedestrian is not confined to the graph, but this router is.</w:t>
      </w:r>
      <w:r>
        <w:t xml:space="preserve"> A walker can cross a field or a yard where a vehicle cannot, so a shortest-path formulation borrowed from road-bound traffic may not transfer cleanly on foot — a point put to the author in written comments by an external researcher in September 2026. Every route here stays on mapped ways, and whether that makes the reported failures pessimistic or optimistic is unmeasured.</w:t>
      </w:r>
    </w:p>
    <w:p>
      <w:r>
        <w:rPr>
          <w:b/>
        </w:rPr>
        <w:t>Assumptions the results ride on.</w:t>
      </w:r>
      <w:r>
        <w:t xml:space="preserve"> A fixed 0.7 m/s gait speed with no individual variation and no pre-movement delay; an immobile fraction of 0.3; a pedestrian cutoff of 0.5 and a vehicle cutoff of 0.7; dispatch operational windows, service times and team counts that are proof-of-concept parameters, not measured capacity — the committed 75-minute window is an assumed constant and nothing here grounds it; and refuge semantics from OpenStreetMap tags, which in rural Korea return parks and pavilions unless corrected for local village-hall tagging.</w:t>
      </w:r>
    </w:p>
    <w:p>
      <w:r>
        <w:rPr>
          <w:b/>
        </w:rPr>
        <w:t>Every refuge in this paper is an OpenStreetMap point, and a designated list now exists that no result here uses.</w:t>
      </w:r>
      <w:r>
        <w:t xml:space="preserve"> An agency-designated inventory for Yeongdeok-gun entered the repository from the 주소정보누리집 address portal of Korea's Ministry of the Interior and Safety: on the 2025-03-01 cut, 64 earthquake outdoor evacuation sites, 92 tsunami emergency evacuation sites and 17 cooling centres; on the 2024-01-24 cut, 55 public-service agency points, four of them fire-service and six police — candidate depots where Table 2 puts OpenStreetMap depot density at 0.45 per 100 km². None is a </w:t>
      </w:r>
      <w:r>
        <w:rPr>
          <w:i/>
        </w:rPr>
        <w:t>wildfire</w:t>
      </w:r>
      <w:r>
        <w:t xml:space="preserve"> refuge: the designated categories here are earthquake, tsunami and heat, and this subset is seven of the portal's point layers rather than its whole taxonomy, so it narrows the question rather than answering it. The two sets are also not on one extent and must not be differenced as they stand: the designated counts are for the whole county, between 77 % and 84 % of each layer falling inside the canonical walk box, while the router's refuges are counted inside that box alone. </w:t>
      </w:r>
      <w:r>
        <w:rPr>
          <w:i/>
          <w:color w:val="B42318"/>
        </w:rPr>
        <w:t>[GAP: the router's 50 OpenStreetMap refuge points have not been compared against that designated list, so how far the routing results depend on refuge provenance is unmeasured. Both inputs are committed and the comparison is runnable now: clip the designated sites to the walk box, re-snap the refuges, and re-run the same 458 origins on the same canonical field]</w:t>
      </w:r>
    </w:p>
    <w:p>
      <w:r>
        <w:rPr>
          <w:b/>
        </w:rPr>
        <w:t>The detection measurement rests on three fires and an unsourced clock.</w:t>
      </w:r>
      <w:r>
        <w:t xml:space="preserve"> No night-time detection appears in the sample, so night performance is unmeasured. Only the size floor stands on its own. </w:t>
      </w:r>
      <w:r>
        <w:rPr>
          <w:i/>
          <w:color w:val="B42318"/>
        </w:rPr>
        <w:t>[GAP: the reference times come from a manifest field marked provenance only. No entry names a report time and none says what the field is, so the delays can be read against neither the true ignition nor the emergency call and the sign of the error is unknown in both directions. One record of the 신고접수시각 for one of these fires would settle it]</w:t>
      </w:r>
    </w:p>
    <w:p>
      <w:r>
        <w:rPr>
          <w:b/>
        </w:rPr>
        <w:t>Operational status.</w:t>
      </w:r>
      <w:r>
        <w:t xml:space="preserve"> No trigger has ever fired on a live detection and the messaging layer is a dry run: the SMS path is simulated, private cell-broadcast origination is not authorized in Korea, and the approval-gated email channel has never completed a verification send. Nothing here reached a real resident or a real crew.</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household-level decisions measurably, as a paired contrast — 42 of 458 scanned origins on the canonical Yeongdeok field reach a refuge only under the forecast-aware policy, on a network covering 32.6 % of that fire's predicted core. That contrast is against a fire-blind baseline, and Section 4.5 shows on a second region that a policy which refuses only where the fire is now recovers most of it — so the claim is about coupling a hazard field into the routing at all, and the part attributable to the forecast is smaller and, on the evidence here, not yet a single number.</w:t>
      </w:r>
    </w:p>
    <w:p>
      <w:r>
        <w:t>The rest of the contribution is the instrument, and the instrument is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own design notes had drawn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Every measured number in this paper is registered in </w:t>
      </w:r>
      <w:r>
        <w:rPr>
          <w:rFonts w:ascii="Consolas" w:hAnsi="Consolas"/>
          <w:sz w:val="19"/>
        </w:rPr>
        <w:t>docs/NUMBERS.json</w:t>
      </w:r>
      <w:r>
        <w:t xml:space="preserve"> with its source artifact, derivation and caveat, and re-derived from that artifact by </w:t>
      </w:r>
      <w:r>
        <w:rPr>
          <w:rFonts w:ascii="Consolas" w:hAnsi="Consolas"/>
          <w:sz w:val="19"/>
        </w:rPr>
        <w:t>make verify</w:t>
      </w:r>
      <w:r>
        <w:t xml:space="preserve">; externally sourced figures are attributed in place with agency, date and scope. Figures are regenerated from committed artifacts by </w:t>
      </w:r>
      <w:r>
        <w:rPr>
          <w:rFonts w:ascii="Consolas" w:hAnsi="Consolas"/>
          <w:sz w:val="19"/>
        </w:rPr>
        <w:t>paper/make_figures.py</w:t>
      </w:r>
      <w:r>
        <w:t xml:space="preserve"> and none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대구MBC "경북 산불 사망자 26명…영덕 9명." 대구MBC, 30 March 2025, 2025. https://dgmbc.com/article/bLdh4s3M4pgcSdYI0MZPc</w:t>
      </w:r>
    </w:p>
    <w:p>
      <w:pPr>
        <w:ind w:left="454" w:hanging="454"/>
      </w:pPr>
      <w:r>
        <w:rPr>
          <w:sz w:val="19"/>
        </w:rPr>
        <w:t>[3]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[4]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[5] 김현수 and 이종섭 "경북 산불 실제 피해 약 10만ha, 산림청 추정치 '2배' 훌쩍…"초기 추산 엉터리" 비판도." 경향신문 (The Kyunghyang Shinmun), 17 April 2025, 2025. https://www.khan.co.kr/article/202504171020011</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[8]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[9] Finney, Mark A. "Fire growth using minimum travel time methods." Canadian Journal of Forest Research, 2002. https://doi.org/10.1139/x02-068</w:t>
      </w:r>
    </w:p>
    <w:p>
      <w:pPr>
        <w:ind w:left="454" w:hanging="454"/>
      </w:pPr>
      <w:r>
        <w:rPr>
          <w:sz w:val="19"/>
        </w:rPr>
        <w:t>[10] Cova, Thomas J. and Johnson, Justin P. "A network flow model for lane-based evacuation routing." Transportation Research Part A: Policy and Practice, 2003. https://doi.org/10.1016/S0965-8564(03)00007-7</w:t>
      </w:r>
    </w:p>
    <w:p>
      <w:pPr>
        <w:ind w:left="454" w:hanging="454"/>
      </w:pPr>
      <w:r>
        <w:rPr>
          <w:sz w:val="19"/>
        </w:rPr>
        <w:t>[11]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[12]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[13]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[14] Li, Dapeng and Cova, Thomas J. and Dennison, Philip E. "Using reverse geocoding to identify prominent wildfire evacuation trigger points." Applied Geography, 2017. https://doi.org/10.1016/j.apgeog.2017.05.008</w:t>
      </w:r>
    </w:p>
    <w:p>
      <w:pPr>
        <w:ind w:left="454" w:hanging="454"/>
      </w:pPr>
      <w:r>
        <w:rPr>
          <w:sz w:val="19"/>
        </w:rPr>
        <w:t>[15]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[16]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[17]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[18]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[19] Dozier, Jeff "A method for satellite identification of surface temperature fields of subpixel resolution." Remote Sensing of Environment, 1981. https://doi.org/10.1016/0034-4257(81)90021-3</w:t>
      </w:r>
    </w:p>
    <w:p>
      <w:pPr>
        <w:ind w:left="454" w:hanging="454"/>
      </w:pPr>
      <w:r>
        <w:rPr>
          <w:sz w:val="19"/>
        </w:rPr>
        <w:t>[20]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[21] Studenski, Stephanie and Perera, Subashan and Patel, Kushang and others "Gait speed and survival in older adults." JAMA, 2011. https://pubmed.ncbi.nlm.nih.gov/21205966/</w:t>
      </w:r>
    </w:p>
    <w:p>
      <w:pPr>
        <w:ind w:left="454" w:hanging="454"/>
      </w:pPr>
      <w:r>
        <w:rPr>
          <w:sz w:val="19"/>
        </w:rPr>
        <w:t>[22] NASA "Fire Information for Resource Management System (FIRMS)." 2026. https://firms.modaps.eosdis.nasa.gov/</w:t>
      </w:r>
    </w:p>
    <w:p>
      <w:pPr>
        <w:ind w:left="454" w:hanging="454"/>
      </w:pPr>
      <w:r>
        <w:rPr>
          <w:sz w:val="19"/>
        </w:rPr>
        <w:t>[23] Hersbach, Hans and others "ERA5 hourly data on single levels from 1940 to present." Copernicus Climate Change Service (C3S) Climate Data Store, 2023. https://cds.climate.copernicus.eu/datasets/reanalysis-era5-single-levels</w:t>
      </w:r>
    </w:p>
    <w:p>
      <w:pPr>
        <w:ind w:left="454" w:hanging="454"/>
      </w:pPr>
      <w:r>
        <w:rPr>
          <w:sz w:val="19"/>
        </w:rPr>
        <w:t>[24] Farr, Tom G. and Rosen, Paul A. and Caro, Edward and others "The Shuttle Radar Topography Mission." Reviews of Geophysics, 2007. https://doi.org/10.1029/2005RG000183</w:t>
      </w:r>
    </w:p>
    <w:p>
      <w:pPr>
        <w:ind w:left="454" w:hanging="454"/>
      </w:pPr>
      <w:r>
        <w:rPr>
          <w:sz w:val="19"/>
        </w:rPr>
        <w:t>[25] ESA WorldCover consortium "ESA WorldCover: global land cover at 10 m from Sentinel-1 and Sentinel-2." 2021. https://esa-worldcover.org/en</w:t>
      </w:r>
    </w:p>
    <w:p>
      <w:pPr>
        <w:ind w:left="454" w:hanging="454"/>
      </w:pPr>
      <w:r>
        <w:rPr>
          <w:sz w:val="19"/>
        </w:rPr>
        <w:t>[26] Boeing, Geoff "OSMnx: new methods for acquiring, constructing, analyzing, and visualizing complex street networks." Computers, Environment and Urban Systems, 2017. https://doi.org/10.1016/j.compenvurbsys.2017.05.004</w:t>
      </w:r>
    </w:p>
    <w:p>
      <w:pPr>
        <w:ind w:left="454" w:hanging="454"/>
      </w:pPr>
      <w:r>
        <w:rPr>
          <w:sz w:val="19"/>
        </w:rPr>
        <w:t>[27]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