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2026-09-05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4.7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Evacuation routing.</w:t>
      </w:r>
      <w:r>
        <w:t xml:space="preserve"> Lane-based evacuation routing was posed as a network flow problem two decades ago </w:t>
      </w:r>
      <w:r>
        <w:t>[10]</w:t>
      </w:r>
      <w:r>
        <w:t xml:space="preserve">. Recent work brings wildfire information into that formulation directly: Borgwardt et al. pose wildfire evacuation as maximum flow on a time-expanded network with integrated hazard data </w:t>
      </w:r>
      <w:r>
        <w:t>[11]</w:t>
      </w:r>
      <w:r>
        <w:t xml:space="preserve">, and RESCUE routes under stochastic congestion and uncertain spread </w:t>
      </w:r>
      <w:r>
        <w:t>[12]</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[13]</w:t>
      </w:r>
      <w:r>
        <w:t xml:space="preserve">, refined by reverse geocoding to name the road segments that matter </w:t>
      </w:r>
      <w:r>
        <w:t>[14]</w:t>
      </w:r>
      <w:r>
        <w:t xml:space="preserve">, and later coupled to traffic simulation so it accounts for the time evacuation takes </w:t>
      </w:r>
      <w:r>
        <w:t>[15]</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[16]</w:t>
      </w:r>
      <w:r>
        <w:t xml:space="preserve">; the wildland-urban-interface framing follows the standard definition </w:t>
      </w:r>
      <w:r>
        <w:t>[17]</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[18]</w:t>
      </w:r>
      <w:r>
        <w:t xml:space="preserve">. Section 4.7 measures what that buys, using the mid-infrared contrast and the sub-pixel area inversion standard since Dozier </w:t>
      </w:r>
      <w:r>
        <w:t>[19]</w:t>
      </w:r>
      <w:r>
        <w:t>.</w:t>
      </w:r>
    </w:p>
    <w:p>
      <w:r>
        <w:rPr>
          <w:b/>
        </w:rPr>
        <w:t>Calibration and guarantees.</w:t>
      </w:r>
      <w:r>
        <w:t xml:space="preserve"> Conformal risk control offers distribution-free guarantees on a monotone risk by calibrating a threshold </w:t>
      </w:r>
      <w:r>
        <w:t>[20]</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[21]</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[22]</w:t>
      </w:r>
      <w:r>
        <w:t xml:space="preserve">, whose detection times define the prediction target; weather from ERA5 reanalysis on single levels </w:t>
      </w:r>
      <w:r>
        <w:t>[23]</w:t>
      </w:r>
      <w:r>
        <w:t xml:space="preserve">; terrain from SRTM </w:t>
      </w:r>
      <w:r>
        <w:t>[24]</w:t>
      </w:r>
      <w:r>
        <w:t xml:space="preserve">; fuel from ESA WorldCover at 10 m </w:t>
      </w:r>
      <w:r>
        <w:t>[25]</w:t>
      </w:r>
      <w:r>
        <w:t xml:space="preserve">; and road networks, building footprints and candidate refuge and depot points of interest from OpenStreetMap, graph-built with OSMnx </w:t>
      </w:r>
      <w:r>
        <w:t>[26, 27]</w:t>
      </w:r>
      <w:r>
        <w:t>. No proprietary or paid source is used.</w:t>
      </w:r>
    </w:p>
    <w:p>
      <w:r>
        <w:t xml:space="preserve">One further public input feeds only the detection-timing measurement of Section 4.7: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4.6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tracked document is read against it, so a withdrawn claim cannot survive in a file nobody thought to list. It matches spellings, not meaning: in an independent probe, sentences reusing a registered spelling were caught and sentences reworded around one were not, and that limit is recorded rather than designed away. A further limit is not about matching at all, and it appeared in September 2026: some of this project's artifacts are </w:t>
      </w:r>
      <w:r>
        <w:rPr>
          <w:i/>
        </w:rPr>
        <w:t>generated</w:t>
      </w:r>
      <w:r>
        <w:t xml:space="preserve"> from templates, and a sentence that had just been retired was corrected in one generated file while the template it is built from kept it. Nothing was wrong in the artifact a reader saw and every gate passed, so the retired wording would have returned at the next rebuild. Had that sentence been a registered spelling the scan would have found it in the template, which the scan does read; it was not, so nothing did. The general point survives either way and needs no registry: a correction applied to a generated file is one rebuild from being undone. The repair was accordingly a test asserting that the generated file is its template line for line apart from the injected data, not a longer list of spellings. The injected line itself stays outside that test, and a wrong value inside it still passes every gate named here; that hole is open and recorded rather than repaired.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[20]</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w:t>
      </w:r>
      <w:r>
        <w:rPr>
          <w:i/>
          <w:color w:val="B42318"/>
        </w:rPr>
        <w:t>[GAP: the arm that separates them, a present-perimeter baseline over the same origins, is specified in the project backlog and scheduled after this sprint]</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pPr>
        <w:pStyle w:val="Heading2"/>
      </w:pPr>
      <w:r>
        <w:t>4.5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4.6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positively is reproducibility: re-deriving 3,744 values from the earlier run cell by cell produced </w:t>
      </w:r>
      <w:r>
        <w:rPr>
          <w:b/>
        </w:rPr>
        <w:t>0</w:t>
      </w:r>
      <w:r>
        <w:t xml:space="preserve"> differences.</w:t>
      </w:r>
    </w:p>
    <w:p>
      <w:pPr>
        <w:pStyle w:val="Heading2"/>
      </w:pPr>
      <w:r>
        <w:t>4.7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[19]</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will the fire be"; a household needs "is my route still passable when I get there", and the two differ because a slow walker's arrival time is a variable in the answer. Section 4.3 is the measurable form of that difference.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do not get guarantees by changing the calibration method, but by having more events.</w:t>
      </w:r>
    </w:p>
    <w:p>
      <w:r>
        <w:rPr>
          <w:b/>
        </w:rPr>
        <w:t>Where the trigger comes from, and where the warning goes.</w:t>
      </w:r>
      <w:r>
        <w:t xml:space="preserve"> Section 4.7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 Another's off-network walking point is a limitation in Section 6.</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This is the objection we would raise first against this paper.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a point put to the author in written comments by an external researcher in September 2026.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w:t>
      </w:r>
    </w:p>
    <w:p>
      <w:r>
        <w:t>The rest of the contribution is the instrument, and the instrument is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in this paper is registered in </w:t>
      </w:r>
      <w:r>
        <w:rPr>
          <w:rFonts w:ascii="Consolas" w:hAnsi="Consolas"/>
          <w:sz w:val="19"/>
        </w:rPr>
        <w:t>docs/NUMBERS.json</w:t>
      </w:r>
      <w:r>
        <w:t xml:space="preserve"> with its source artifact, derivation and caveat, and re-derived from that artifact by </w:t>
      </w:r>
      <w:r>
        <w:rPr>
          <w:rFonts w:ascii="Consolas" w:hAnsi="Consolas"/>
          <w:sz w:val="19"/>
        </w:rPr>
        <w:t>make verify</w:t>
      </w:r>
      <w:r>
        <w:t xml:space="preserve">;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Cova, Thomas J. and Johnson, Justin P. "A network flow model for lane-based evacuation routing." Transportation Research Part A: Policy and Practice, 2003. https://doi.org/10.1016/S0965-8564(03)00007-7</w:t>
      </w:r>
    </w:p>
    <w:p>
      <w:pPr>
        <w:ind w:left="454" w:hanging="454"/>
      </w:pPr>
      <w:r>
        <w:rPr>
          <w:sz w:val="19"/>
        </w:rPr>
        <w:t>[11]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[12]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[13]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[14] Li, Dapeng and Cova, Thomas J. and Dennison, Philip E. "Using reverse geocoding to identify prominent wildfire evacuation trigger points." Applied Geography, 2017. https://doi.org/10.1016/j.apgeog.2017.05.008</w:t>
      </w:r>
    </w:p>
    <w:p>
      <w:pPr>
        <w:ind w:left="454" w:hanging="454"/>
      </w:pPr>
      <w:r>
        <w:rPr>
          <w:sz w:val="19"/>
        </w:rPr>
        <w:t>[15]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[16]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[17]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[18]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[19] Dozier, Jeff "A method for satellite identification of surface temperature fields of subpixel resolution." Remote Sensing of Environment, 1981. https://doi.org/10.1016/0034-4257(81)90021-3</w:t>
      </w:r>
    </w:p>
    <w:p>
      <w:pPr>
        <w:ind w:left="454" w:hanging="454"/>
      </w:pPr>
      <w:r>
        <w:rPr>
          <w:sz w:val="19"/>
        </w:rPr>
        <w:t>[20]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[21] Studenski, Stephanie and Perera, Subashan and Patel, Kushang and others "Gait speed and survival in older adults." JAMA, 2011. https://pubmed.ncbi.nlm.nih.gov/21205966/</w:t>
      </w:r>
    </w:p>
    <w:p>
      <w:pPr>
        <w:ind w:left="454" w:hanging="454"/>
      </w:pPr>
      <w:r>
        <w:rPr>
          <w:sz w:val="19"/>
        </w:rPr>
        <w:t>[22] NASA "Fire Information for Resource Management System (FIRMS)." 2026. https://firms.modaps.eosdis.nasa.gov/</w:t>
      </w:r>
    </w:p>
    <w:p>
      <w:pPr>
        <w:ind w:left="454" w:hanging="454"/>
      </w:pPr>
      <w:r>
        <w:rPr>
          <w:sz w:val="19"/>
        </w:rPr>
        <w:t>[23] Hersbach, Hans and others "ERA5 hourly data on single levels from 1940 to present." Copernicus Climate Change Service (C3S) Climate Data Store, 2023. https://cds.climate.copernicus.eu/datasets/reanalysis-era5-single-levels</w:t>
      </w:r>
    </w:p>
    <w:p>
      <w:pPr>
        <w:ind w:left="454" w:hanging="454"/>
      </w:pPr>
      <w:r>
        <w:rPr>
          <w:sz w:val="19"/>
        </w:rPr>
        <w:t>[24] Farr, Tom G. and Rosen, Paul A. and Caro, Edward and others "The Shuttle Radar Topography Mission." Reviews of Geophysics, 2007. https://doi.org/10.1029/2005RG000183</w:t>
      </w:r>
    </w:p>
    <w:p>
      <w:pPr>
        <w:ind w:left="454" w:hanging="454"/>
      </w:pPr>
      <w:r>
        <w:rPr>
          <w:sz w:val="19"/>
        </w:rPr>
        <w:t>[25] ESA WorldCover consortium "ESA WorldCover: global land cover at 10 m from Sentinel-1 and Sentinel-2." 2021. https://esa-worldcover.org/en</w:t>
      </w:r>
    </w:p>
    <w:p>
      <w:pPr>
        <w:ind w:left="454" w:hanging="454"/>
      </w:pPr>
      <w:r>
        <w:rPr>
          <w:sz w:val="19"/>
        </w:rPr>
        <w:t>[26] Boeing, Geoff "OSMnx: new methods for acquiring, constructing, analyzing, and visualizing complex street networks." Computers, Environment and Urban Systems, 2017. https://doi.org/10.1016/j.compenvurbsys.2017.05.004</w:t>
      </w:r>
    </w:p>
    <w:p>
      <w:pPr>
        <w:ind w:left="454" w:hanging="454"/>
      </w:pPr>
      <w:r>
        <w:rPr>
          <w:sz w:val="19"/>
        </w:rPr>
        <w:t>[27]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