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2026-09-07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On a second region that separation has now been measured: a present-perimeter opponent, which refuses what is burning now plus a fixed buffer and needs no model at all, recovers most of what that region's fire-blind contrast credits to the forecast.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the forecast itself is responsible for is a separate question, and Section 4.5 answers it on one region by replacing the baseline with a policy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reports that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driven by a human-entered origin point </w:t>
      </w:r>
      <w:r>
        <w:t>[10]</w:t>
      </w:r>
      <w:r>
        <w:t xml:space="preserve">; Gyeonggi Province's civil-defence alert model predicts a fire's route, arrival times and the township it reaches, in half-hour steps, and was announced for trial operation in April 2026 </w:t>
      </w:r>
      <w:r>
        <w:t>[11]</w:t>
      </w:r>
      <w:r>
        <w:t>. Both answer where the fire goes, for a suppression commander or a siren operator; neither answers which household can still walk out and by which path — the object this paper produces. No accuracy comparison is made in either direction: no published validation of either was located, and the capability figures in circulation are agency plan statements.</w:t>
      </w:r>
    </w:p>
    <w:p>
      <w:r>
        <w:rPr>
          <w:b/>
        </w:rPr>
        <w:t>Evacuation routing.</w:t>
      </w:r>
      <w:r>
        <w:t xml:space="preserve"> Lane-based evacuation routing was posed as a network flow problem two decades ago </w:t>
      </w:r>
      <w:r>
        <w:t>[12]</w:t>
      </w:r>
      <w:r>
        <w:t xml:space="preserve">. Recent work brings wildfire information into that formulation directly: Borgwardt et al. pose wildfire evacuation as maximum flow on a time-expanded network with integrated hazard data </w:t>
      </w:r>
      <w:r>
        <w:t>[13]</w:t>
      </w:r>
      <w:r>
        <w:t xml:space="preserve">, and RESCUE routes under stochastic congestion and uncertain spread </w:t>
      </w:r>
      <w:r>
        <w:t>[14]</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spatial line whose crossing by the fire front should start an evacuation, set by coupling spread modelling to GIS </w:t>
      </w:r>
      <w:r>
        <w:t>[15]</w:t>
      </w:r>
      <w:r>
        <w:t xml:space="preserve">, refined by reverse geocoding to name the road segments that matter </w:t>
      </w:r>
      <w:r>
        <w:t>[16]</w:t>
      </w:r>
      <w:r>
        <w:t xml:space="preserve">, and later coupled to traffic simulation so it accounts for the time evacuation takes </w:t>
      </w:r>
      <w:r>
        <w:t>[17]</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[18]</w:t>
      </w:r>
      <w:r>
        <w:t xml:space="preserve">; the wildland-urban-interface framing follows the standard definition </w:t>
      </w:r>
      <w:r>
        <w:t>[19]</w:t>
      </w:r>
      <w:r>
        <w:t>, whose transfer to rural Korean settlement is untested here.</w:t>
      </w:r>
    </w:p>
    <w:p>
      <w:r>
        <w:rPr>
          <w:b/>
        </w:rPr>
        <w:t>Detection.</w:t>
      </w:r>
      <w:r>
        <w:t xml:space="preserve"> Geostationary imagers trade resolution for cadence: GK2A's Advanced Meteorological Imager returns the Korean local area every two minutes at 2 km in the infrared </w:t>
      </w:r>
      <w:r>
        <w:t>[20]</w:t>
      </w:r>
      <w:r>
        <w:t xml:space="preserve">. Section 4.8 measures what that buys, using the mid-infrared contrast and the sub-pixel area inversion standard since Dozier </w:t>
      </w:r>
      <w:r>
        <w:t>[21]</w:t>
      </w:r>
      <w:r>
        <w:t>.</w:t>
      </w:r>
    </w:p>
    <w:p>
      <w:r>
        <w:rPr>
          <w:b/>
        </w:rPr>
        <w:t>Calibration and guarantees.</w:t>
      </w:r>
      <w:r>
        <w:t xml:space="preserve"> Conformal risk control offers distribution-free guarantees on a monotone risk by calibrating a threshold </w:t>
      </w:r>
      <w:r>
        <w:t>[22]</w:t>
      </w:r>
      <w:r>
        <w:t>. Section 4.2 reports what happens when it is applied honestly at six fires.</w:t>
      </w:r>
    </w:p>
    <w:p>
      <w:r>
        <w:rPr>
          <w:b/>
        </w:rPr>
        <w:t>Walking speed.</w:t>
      </w:r>
      <w:r>
        <w:t xml:space="preserve"> The elderly gait speeds this system assumes sit in the range for which gait speed is an established predictor of survival in older adults </w:t>
      </w:r>
      <w:r>
        <w:t>[23]</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[24]</w:t>
      </w:r>
      <w:r>
        <w:t xml:space="preserve">, whose detection times define the prediction target; weather from ERA5 reanalysis on single levels </w:t>
      </w:r>
      <w:r>
        <w:t>[25]</w:t>
      </w:r>
      <w:r>
        <w:t xml:space="preserve">; terrain from SRTM </w:t>
      </w:r>
      <w:r>
        <w:t>[26]</w:t>
      </w:r>
      <w:r>
        <w:t xml:space="preserve">; fuel from ESA WorldCover at 10 m </w:t>
      </w:r>
      <w:r>
        <w:t>[27]</w:t>
      </w:r>
      <w:r>
        <w:t xml:space="preserve">; and road networks, building footprints and candidate refuge and depot points of interest from OpenStreetMap, graph-built with OSMnx </w:t>
      </w:r>
      <w:r>
        <w:t>[28, 29]</w:t>
      </w:r>
      <w:r>
        <w:t>. No proprietary or paid source is used.</w:t>
      </w:r>
    </w:p>
    <w:p>
      <w:r>
        <w:t xml:space="preserve">One further public input feeds only the detection-timing measurement of Section 4.8: GK2A level-1B radiances,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that states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a withdrawn claim cannot survive in a file nobody thought to list. The step that can fail is registration: September 2026 retractions skipped it twice, and each hand-applied correction left the same claim standing in a file that lap had itself edited or printed. It matches spellings, not meaning: in an independent probe, sentences reusing a registered spelling were caught and sentences reworded around one were not, and that limit is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Had that sentence been a registered spelling the scan would have found it in the template, which the scan does read; it was not, so nothing did. The general point needs no registry: a correction applied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here.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[22]</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the routes and the origins themselves are mapped in Fig. 5).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cells alight at departure would recover an unmeasured share of them. This is a coupling effect, not a forecasting effect. That arm has since been run, on a different region and against that region's own fire-blind contrast, and Section 4.5 reports it; it has not been run over these 458 origins. </w:t>
      </w:r>
      <w:r>
        <w:rPr>
          <w:i/>
          <w:color w:val="B42318"/>
        </w:rPr>
        <w:t>[GAP: the present-perimeter baseline over the canonical Yeongdeok origins, which is what would separate the two effects on this field rather than on another one]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are values of the Section 4.5 arm and are withheld for the reason that section gives. The committed value is not moved and this paper reports the qualification rather than a correction. Of the other two regions, Uljin-Samcheok has not been re-read under the uniform rule and Yeongdeok cannot be, its walk graph of that vintage no longer being recoverable.</w:t>
      </w:r>
    </w:p>
    <w:p>
      <w:pPr>
        <w:pStyle w:val="Heading2"/>
      </w:pPr>
      <w:r>
        <w:t>4.5 The fair opponent: refusing where the fire is now</w:t>
      </w:r>
    </w:p>
    <w:p>
      <w:r>
        <w:t>Section 4.3's third caveat names the weakness of a fire-blind baseline, and on one region it has now been measured rather than conceded.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of them is the fair opponent is a modelling choice the project has not made, and it is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What the run does not support is any statement about whether a workable width could be chosen in advance: the five widths differ by factors of two, so the grid holds a single point in the region such a claim would be about. One repository document still draws the stronger conclusion from those same five points, as do the caveats the registry carries on this arm's own entries; a second was narrowed to this reading during revision, and the rest is an open item there.</w:t>
      </w:r>
    </w:p>
    <w:p>
      <w:r>
        <w:t xml:space="preserve">Two caveats bind the whole comparison. The forecast-aware arm plans on the same hazard field it is graded against, so whatever it is worth against a present-perimeter policy is what a </w:t>
      </w:r>
      <w:r>
        <w:rPr>
          <w:i/>
        </w:rPr>
        <w:t>noiseless</w:t>
      </w:r>
      <w:r>
        <w:t xml:space="preserve"> forecast is worth; this project's own model is worth less, by an amount no run here measures. And this is one fire, one ignition and one departure time: which buffer comes off best is a property of this fire's growth against this road network, and no run tests it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[21]</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Section 4.5 bounds how much of it belongs to the forecast rather than to hazard awareness of any kind: on the one region where the stronger opponent has been built, most of the same origins are recovered by refusing where the fire is now, with no model at all.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It was re-cut on the right administrative code and only then used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that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are not distributed with the repository, and the two committed manifests for this fire place its ignition point about 30 km apart]</w:t>
      </w:r>
    </w:p>
    <w:p>
      <w:r>
        <w:rPr>
          <w:b/>
        </w:rPr>
        <w:t>The counterfactual was weak, and the stronger one is run on only one region.</w:t>
      </w:r>
      <w:r>
        <w:t xml:space="preserve"> Every contrast in Sections 4.3 and 4.4 is against a fire-blind baseline. Section 4.5 replaces it on Uiseong-Andong with a present-perimeter opponent and most of that region's contrast does not survive the substitution. The same substitution has not been made on the canonical Yeongdeok field, so the 42 of Section 4.3 remains a fire-blind contrast and must be read as one; and even where the substitution has been made, the residual difference is not reported, because two defensible builds of that opponent disagree about it.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 That contrast is against a fire-blind baseline, and Section 4.5 shows on a second region that a policy which refuses only where the fire is now recovers most of it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Cova, Thomas J. and Johnson, Justin P. "A network flow model for lane-based evacuation routing." Transportation Research Part A: Policy and Practice, 2003. https://doi.org/10.1016/S0965-8564(03)00007-7</w:t>
      </w:r>
    </w:p>
    <w:p>
      <w:pPr>
        <w:ind w:left="454" w:hanging="454"/>
      </w:pPr>
      <w:r>
        <w:rPr>
          <w:sz w:val="19"/>
        </w:rPr>
        <w:t>[13]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[14]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[15]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[16] Li, Dapeng and Cova, Thomas J. and Dennison, Philip E. "Using reverse geocoding to identify prominent wildfire evacuation trigger points." Applied Geography, 2017. https://doi.org/10.1016/j.apgeog.2017.05.008</w:t>
      </w:r>
    </w:p>
    <w:p>
      <w:pPr>
        <w:ind w:left="454" w:hanging="454"/>
      </w:pPr>
      <w:r>
        <w:rPr>
          <w:sz w:val="19"/>
        </w:rPr>
        <w:t>[17]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[18]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[19]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[20]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[21] Dozier, Jeff "A method for satellite identification of surface temperature fields of subpixel resolution." Remote Sensing of Environment, 1981. https://doi.org/10.1016/0034-4257(81)90021-3</w:t>
      </w:r>
    </w:p>
    <w:p>
      <w:pPr>
        <w:ind w:left="454" w:hanging="454"/>
      </w:pPr>
      <w:r>
        <w:rPr>
          <w:sz w:val="19"/>
        </w:rPr>
        <w:t>[22]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[23] Studenski, Stephanie and Perera, Subashan and Patel, Kushang and others "Gait speed and survival in older adults." JAMA, 2011. https://pubmed.ncbi.nlm.nih.gov/21205966/</w:t>
      </w:r>
    </w:p>
    <w:p>
      <w:pPr>
        <w:ind w:left="454" w:hanging="454"/>
      </w:pPr>
      <w:r>
        <w:rPr>
          <w:sz w:val="19"/>
        </w:rPr>
        <w:t>[24] NASA "Fire Information for Resource Management System (FIRMS)." 2026. https://firms.modaps.eosdis.nasa.gov/</w:t>
      </w:r>
    </w:p>
    <w:p>
      <w:pPr>
        <w:ind w:left="454" w:hanging="454"/>
      </w:pPr>
      <w:r>
        <w:rPr>
          <w:sz w:val="19"/>
        </w:rPr>
        <w:t>[25] Hersbach, Hans and others "ERA5 hourly data on single levels from 1940 to present." Copernicus Climate Change Service (C3S) Climate Data Store, 2023. https://cds.climate.copernicus.eu/datasets/reanalysis-era5-single-levels</w:t>
      </w:r>
    </w:p>
    <w:p>
      <w:pPr>
        <w:ind w:left="454" w:hanging="454"/>
      </w:pPr>
      <w:r>
        <w:rPr>
          <w:sz w:val="19"/>
        </w:rPr>
        <w:t>[26] Farr, Tom G. and Rosen, Paul A. and Caro, Edward and others "The Shuttle Radar Topography Mission." Reviews of Geophysics, 2007. https://doi.org/10.1029/2005RG000183</w:t>
      </w:r>
    </w:p>
    <w:p>
      <w:pPr>
        <w:ind w:left="454" w:hanging="454"/>
      </w:pPr>
      <w:r>
        <w:rPr>
          <w:sz w:val="19"/>
        </w:rPr>
        <w:t>[27] ESA WorldCover consortium "ESA WorldCover: global land cover at 10 m from Sentinel-1 and Sentinel-2." 2021. https://esa-worldcover.org/en</w:t>
      </w:r>
    </w:p>
    <w:p>
      <w:pPr>
        <w:ind w:left="454" w:hanging="454"/>
      </w:pPr>
      <w:r>
        <w:rPr>
          <w:sz w:val="19"/>
        </w:rPr>
        <w:t>[28] Boeing, Geoff "OSMnx: new methods for acquiring, constructing, analyzing, and visualizing complex street networks." Computers, Environment and Urban Systems, 2017. https://doi.org/10.1016/j.compenvurbsys.2017.05.004</w:t>
      </w:r>
    </w:p>
    <w:p>
      <w:pPr>
        <w:ind w:left="454" w:hanging="454"/>
      </w:pPr>
      <w:r>
        <w:rPr>
          <w:sz w:val="19"/>
        </w:rPr>
        <w:t>[29]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