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2026-09-06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during the March 2025 Gyeongbuk wildfires, the largest on Korea's record by burned area. Neither answered which way a rural household should walk now, or whether a rescue crew can still reach the house. WildfireGuardian couples an event-held-out ignition-probability model to a time-expanded pedestrian router and a rescue-ingress calculation, and re-derives every published number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under the forecast-aware policy, and 2 have no safe walking route, on a network covering 32.6 % of the predicted fire core whose bias runs in an unmeasured direction. That contrast is measured against a fire-blind baseline, so it does not separate knowing where the fire will be from knowing where it is. On a second region that separation has now been measured: a present-perimeter opponent, which refuses what is burning now plus a fixed buffer and needs no model at all, recovers most of what that region's fire-blind contrast credits to the forecast.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On a six-event dataset the transferable contribution is the evaluation design — paired contrasts, matched null controls, and registries that keep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A rapid attribution study of 30 April 2025 splits them differently between districts and counts alongside them a separate fire's dead, on a "southeastern Korea" extent of "more than 48,000 hectares" that is not the chain's </w:t>
      </w:r>
      <w:r>
        <w:t>[4]</w:t>
      </w:r>
      <w:r>
        <w:t xml:space="preserve">. Nationwide totals are compiled on another basis over another period — the Korea Forest Service's spring fire-watch season, not March — so this paper states the chain's share of any nationwide total nowhere, and the service itself warns that a fire-affected area read off the fire line and a surveyed damage area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4.8 measures the fastest satellite product over Korea and finds its first anomaly tens of minutes after the recorded occurrence time, at a size floor too coarse for an ignition, on a clock whose relation to the emergency call this repository cannot establish. The gap was between knowing and acting. A district-level probability does not tell one household on one lane which direction is still walkable at 09:40, nor a fire crew which of the houses that cannot self-evacuate they can still drive to, or for how much longer. It is sharpest where the deaths occurred: dispersed rural settlement, slow walkers,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It fits a per-cell ignition-probability model, propagates it into a time-sliced hazard field, and consumes that field twice: in a time-expanded pedestrian router that refuses nodes whose forecast risk will have crossed a cutoff by the walker's arrival, and in a rescue-ingress calculation asking when each approach corridor closes to a vehicle. Its outputs are operator documents (Fig. 1).</w:t>
      </w:r>
    </w:p>
    <w:p>
      <w:r>
        <w:t>We make three claims. The coupling changes decisions, measurably, as a paired contrast: both arms of Section 4.3 run over the same origins, network and field, so neither the routing layer's known approximations nor the coverage limit contaminates it. The operating point is weak, and owning that is part of the result. And the evaluation design is the transferable part: the discipline of matched controls of Section 3.5 is what six fires permit and a large dataset makes easy to skip. How much of the change the forecast itself is responsible for is a separate question, and Section 4.5 answers it on one region by replacing the baseline with a policy that needs no model: much less than the fire-blind contrast implies. The non-claim is the dispatch ordering, which wins 0 of 180 configuration cells against nearest-first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reports that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Evacuation routing.</w:t>
      </w:r>
      <w:r>
        <w:t xml:space="preserve"> Lane-based evacuation routing was posed as a network flow problem two decades ago </w:t>
      </w:r>
      <w:r>
        <w:t>[10]</w:t>
      </w:r>
      <w:r>
        <w:t xml:space="preserve">. Recent work brings wildfire information into that formulation directly: Borgwardt et al. pose wildfire evacuation as maximum flow on a time-expanded network with integrated hazard data </w:t>
      </w:r>
      <w:r>
        <w:t>[11]</w:t>
      </w:r>
      <w:r>
        <w:t xml:space="preserve">, and RESCUE routes under stochastic congestion and uncertain spread </w:t>
      </w:r>
      <w:r>
        <w:t>[12]</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spatial line whose crossing by the fire front should start an evacuation, set by coupling spread modelling to GIS </w:t>
      </w:r>
      <w:r>
        <w:t>[13]</w:t>
      </w:r>
      <w:r>
        <w:t xml:space="preserve">, refined by reverse geocoding to name the road segments that matter </w:t>
      </w:r>
      <w:r>
        <w:t>[14]</w:t>
      </w:r>
      <w:r>
        <w:t xml:space="preserve">, and later coupled to traffic simulation so it accounts for the time evacuation takes </w:t>
      </w:r>
      <w:r>
        <w:t>[15]</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[16]</w:t>
      </w:r>
      <w:r>
        <w:t xml:space="preserve">; the wildland-urban-interface framing follows the standard definition </w:t>
      </w:r>
      <w:r>
        <w:t>[17]</w:t>
      </w:r>
      <w:r>
        <w:t>, whose transfer to rural Korean settlement is untested here.</w:t>
      </w:r>
    </w:p>
    <w:p>
      <w:r>
        <w:rPr>
          <w:b/>
        </w:rPr>
        <w:t>Detection.</w:t>
      </w:r>
      <w:r>
        <w:t xml:space="preserve"> Geostationary imagers trade resolution for cadence: GK2A's Advanced Meteorological Imager returns the Korean local area every two minutes at 2 km in the infrared </w:t>
      </w:r>
      <w:r>
        <w:t>[18]</w:t>
      </w:r>
      <w:r>
        <w:t xml:space="preserve">. Section 4.8 measures what that buys, using the mid-infrared contrast and the sub-pixel area inversion standard since Dozier </w:t>
      </w:r>
      <w:r>
        <w:t>[19]</w:t>
      </w:r>
      <w:r>
        <w:t>.</w:t>
      </w:r>
    </w:p>
    <w:p>
      <w:r>
        <w:rPr>
          <w:b/>
        </w:rPr>
        <w:t>Calibration and guarantees.</w:t>
      </w:r>
      <w:r>
        <w:t xml:space="preserve"> Conformal risk control offers distribution-free guarantees on a monotone risk by calibrating a threshold </w:t>
      </w:r>
      <w:r>
        <w:t>[20]</w:t>
      </w:r>
      <w:r>
        <w:t>. Section 4.2 reports what happens when it is applied honestly at six fires.</w:t>
      </w:r>
    </w:p>
    <w:p>
      <w:r>
        <w:rPr>
          <w:b/>
        </w:rPr>
        <w:t>Walking speed.</w:t>
      </w:r>
      <w:r>
        <w:t xml:space="preserve"> The elderly gait speeds this system assumes sit in the range for which gait speed is an established predictor of survival in older adults </w:t>
      </w:r>
      <w:r>
        <w:t>[21]</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[22]</w:t>
      </w:r>
      <w:r>
        <w:t xml:space="preserve">, whose detection times define the prediction target; weather from ERA5 reanalysis on single levels </w:t>
      </w:r>
      <w:r>
        <w:t>[23]</w:t>
      </w:r>
      <w:r>
        <w:t xml:space="preserve">; terrain from SRTM </w:t>
      </w:r>
      <w:r>
        <w:t>[24]</w:t>
      </w:r>
      <w:r>
        <w:t xml:space="preserve">; fuel from ESA WorldCover at 10 m </w:t>
      </w:r>
      <w:r>
        <w:t>[25]</w:t>
      </w:r>
      <w:r>
        <w:t xml:space="preserve">; and road networks, building footprints and candidate refuge and depot points of interest from OpenStreetMap, graph-built with OSMnx </w:t>
      </w:r>
      <w:r>
        <w:t>[26, 27]</w:t>
      </w:r>
      <w:r>
        <w:t>. No proprietary or paid source is used.</w:t>
      </w:r>
    </w:p>
    <w:p>
      <w:r>
        <w:t xml:space="preserve">One further public input feeds only the detection-timing measurement of Section 4.8: GK2A level-1B radiances,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a field of that form, though not the same instance: the pedestrian results below are computed on this canonical field and the committed responder series on the synthetic one of Section 3.4.</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this router's approximations, deliberately not fixed. All divide out of a paired contrast: both arms run through the same scoring function on the same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w:t>
      </w:r>
      <w:r>
        <w:rPr>
          <w:b/>
        </w:rPr>
        <w:t>That series is only a partial flip to real data, and every 439-origin number in this paper inherits it.</w:t>
      </w:r>
      <w:r>
        <w:t xml:space="preserve"> Its roads, refuges and depots are real OpenStreetMap geometry; its hazard field and terrain are labelled synthetic in the artifact's own provenance, the forward simulation needing a raw fire bundle this repository does not distribute. Its policy contrasts are the robust part; its absolute magnitudes are illustrative. The shipped ordering ranks dispatchable homes by urgency — ingress survival minus responder arrival, smallest closing window first — and Section 4.7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runs from -0.0363 at its 5th percentile to +0.0425 at its 95th.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its JSON path, the expression that re-derives it, its caveat, and the phrasings that misstate it; a gate re-derives every entry on every change, scans the prose for retired figures and quantity-name collisions, and refuses a document that states a registered quantity with a different value. Superseded values are annotated in place, never deleted. A second registry holds the claims this project has </w:t>
      </w:r>
      <w:r>
        <w:rPr>
          <w:b/>
        </w:rPr>
        <w:t>withdrawn</w:t>
      </w:r>
      <w:r>
        <w:t xml:space="preserve"> — what each asserted, what retired it, what should be said instead, and the spellings that restate it — and every tracked document is read against it, so a withdrawn claim cannot survive in a file nobody thought to list. It matches spellings, not meaning: in an independent probe, sentences reusing a registered spelling were caught and sentences reworded around one were not, and that limit is recorded rather than designed away. A further limit is not about matching at all, and it appeared in September 2026: some of this project's artifacts are </w:t>
      </w:r>
      <w:r>
        <w:rPr>
          <w:i/>
        </w:rPr>
        <w:t>generated</w:t>
      </w:r>
      <w:r>
        <w:t xml:space="preserve"> from templates, and a sentence that had just been retired was corrected in one generated file while the template it is built from kept it. Nothing was wrong in the artifact a reader saw and every gate passed, so the retired wording would have returned at the next rebuild. Had that sentence been a registered spelling the scan would have found it in the template, which the scan does read; it was not, so nothing did. The general point survives either way and needs no registry: a correction applied to a generated file is one rebuild from being undone. The repair was accordingly a test asserting that the generated file is its template line for line apart from the injected data, not a longer list of spellings. The injected data was left outside that test, and narrowing that hole took a second one: it re-runs the builder and compares the payload it emits against the payload embedded in the shipped file, field by field, exempting the build's own stamps and the integrity panel, which a companion test checks against the builder's list of gates. Checking instead against a string the test's author typed would check the author rather than the artifact. Its value is prospective, and that distinction is this paragraph's own: the defect that prompted it — the shipped file carrying registry counts from a build predating a later registration run, every other gate green — was found by hand, and the test was shown to catch it only by replaying the payload from before the repair. Its oracle is the builder, so it certifies that the shipped file is what the builder emits today and never that what the builder emits is right, and one provenance field inside the same payload is stale by construction and passes it. This manuscript is scanned by both gates like any other document here.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rPr>
          <w:b/>
        </w:rPr>
        <w:t xml:space="preserve">Table 1. </w:t>
      </w:r>
      <w:r>
        <w:t>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much of this skill is real.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for the reasons given in Section 2 not comparable with published average precision elsewhere.</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[20]</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hazard awareness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at all for 2 (Fig. 4; the routes and the origins themselves are mapped in Fig. 5). No origin falls into the budget-exceeded class at 600 minutes, and none enters the hazard under the forecast-aware policy, which is structural: the policy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fire-blind arm consults no hazard at all, present or forecast, so the shift between the two bars is what hazard awareness of any kind buys and not what the forecast alone buys (Section 4.3, third caveat).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46588"/>
            <wp:docPr id="5" name="Picture 5"/>
            <wp:cNvGraphicFramePr>
              <a:graphicFrameLocks noChangeAspect="1"/>
            </wp:cNvGraphicFramePr>
            <a:graphic>
              <a:graphicData uri="http://schemas.openxmlformats.org/drawingml/2006/picture">
                <pic:pic>
                  <pic:nvPicPr>
                    <pic:cNvPr id="0" name="F8_routing_map.png"/>
                    <pic:cNvPicPr/>
                  </pic:nvPicPr>
                  <pic:blipFill>
                    <a:blip r:embed="rId13"/>
                    <a:stretch>
                      <a:fillRect/>
                    </a:stretch>
                  </pic:blipFill>
                  <pic:spPr>
                    <a:xfrm>
                      <a:off x="0" y="0"/>
                      <a:ext cx="5760000" cy="3546588"/>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with no safe walking route),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Three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in this paper carries that caveat; paired contrasts are unaffected, both arms using the same origins. </w:t>
      </w:r>
      <w:r>
        <w:rPr>
          <w:b/>
        </w:rPr>
        <w:t>Second, the field itself was reconstructed.</w:t>
      </w:r>
      <w:r>
        <w:t xml:space="preserve"> An earlier lineage of these counts came from a run reverted the next day, and the "quasi-static fire core" limitation recorded against those numbers was a property of that reverted field, not of the fire: on the canonical field the core grows by 316.06 % from the first slice to the last. The two lineages differ on more than one axis, so the movement between them is not a single-variable contrast and no per-origin ledger exists.</w:t>
      </w:r>
    </w:p>
    <w:p>
      <w:r>
        <w:rPr>
          <w:b/>
        </w:rPr>
        <w:t>Third, the counterfactual is a fire-blind walk.</w:t>
      </w:r>
      <w:r>
        <w:t xml:space="preserve"> The baseline consults no hazard at all, present or forecast, so the 42 measure what hazard awareness of any kind buys, not what the forecast alone buys: a router refusing only the cells alight at departure would recover an unmeasured share of them. This is a coupling effect, not a forecasting effect. That arm has since been run, on a different region and against that region's own fire-blind contrast, and Section 4.5 reports it; it has not been run over these 458 origins. </w:t>
      </w:r>
      <w:r>
        <w:rPr>
          <w:i/>
          <w:color w:val="B42318"/>
        </w:rPr>
        <w:t>[GAP: the present-perimeter baseline over the canonical Yeongdeok origins, which is what would separate the two effects on this field rather than on another one]</w:t>
      </w:r>
    </w:p>
    <w:p>
      <w:pPr>
        <w:pStyle w:val="Heading2"/>
      </w:pPr>
      <w:r>
        <w:t>4.4 Three regions under one rule</w:t>
      </w:r>
    </w:p>
    <w:p>
      <w:r>
        <w:t>The same rule, parameters and stride ran over two further regions acquired identically (Fig. 6,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rPr>
          <w:b/>
        </w:rPr>
        <w:t xml:space="preserve">Table 2. </w:t>
      </w:r>
      <w:r>
        <w:t>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All three are measured against the same fire-blind baseline, so §4.3's third caveat binds them too.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as zero dispatches.</w:t>
      </w:r>
    </w:p>
    <w:p>
      <w:r>
        <w:t>One column of that table needs a qualification the next section's run supplied. The committed classification scores the fire-blind route under no time budget while the forecast-aware router enforces one internally, so the two arms are read under different rules. The over-budget column is the only bucket in the series that runs against the system — its registered meaning is that the fire-blind route is safe and the forecast-aware route is not — and at Uiseong-Andong its 2 origins have fire-blind arrival times past that budget. Under one budget applied to both arms they are origins no arm saves, rather than origins on which the forecast lost. The two arrival times are values of the Section 4.5 arm and are withheld for the reason that section gives. The committed value is not moved and this paper reports the qualification rather than a correction. Of the other two regions, Uljin-Samcheok has not been re-read under the uniform rule and Yeongdeok cannot be, its walk graph of that vintage no longer being recoverable.</w:t>
      </w:r>
    </w:p>
    <w:p>
      <w:pPr>
        <w:pStyle w:val="Heading2"/>
      </w:pPr>
      <w:r>
        <w:t>4.5 The fair opponent: refusing where the fire is now</w:t>
      </w:r>
    </w:p>
    <w:p>
      <w:r>
        <w:t>Section 4.3's third caveat names the weakness of a fire-blind baseline, and on one region it has now been measured rather than conceded. A present-perimeter policy is what a county office can run with no model at all: refuse every node within a fixed buffer of the cells burning at the departure slice, drop any refuge that falls inside the buffer, and take the shortest remaining path. Run over the same Uiseong-Andong origins, refuges and hazard field as the two arms of Section 4.4, scored by the same function and with one 600-minute budget applied to all three arms, it recovers most of the origins that region's fire-blind contrast credits to the forecast-aware policy. The run reproduces the committed classification — every bucket count, and the origin identities of every bucket the committed artifact stores — before it measures anything, which is the warrant for reading its column beside the other two.</w:t>
      </w:r>
    </w:p>
    <w:p>
      <w:r>
        <w:t xml:space="preserve">This paper states no count from that arm, and the reason is itself a result. The row was built twice, independently and concurrently, on the same origins and the same field, by two different constructions of the opponent. One prunes the refused nodes out of the graph and runs the same distance-minimising search as the fire-blind control, under no time budget. The other runs the time-expanded, time-minimising router against a frozen binary hazard, holds it to the 600-minute budget, and lets it refuse to let a walker already inside the buffer set out at all. Both reproduce the committed classification first, both are internally consistent, and they disagree substantially on what the forecast is then still worth. Which of them is the fair opponent is a modelling choice the project has not made, and it is not one an analysis settles by preferring its own. The registry governing these values also requires the disputed quantity to travel with any count taken from the arm, so this section quotes none of them and names the dispute instead. </w:t>
      </w:r>
      <w:r>
        <w:rPr>
          <w:i/>
          <w:color w:val="B42318"/>
        </w:rPr>
        <w:t>[GAP: which build of the present-perimeter opponent defines the comparison, and therefore what the forecast's residual advantage over it is]</w:t>
      </w:r>
    </w:p>
    <w:p>
      <w:r>
        <w:t>The buffer width is a second free parameter and nothing in the data chooses it. The committed arm was run at five widths, and across them the opponent's failures change in kind rather than simply shrinking: at the two narrowest the buffer sits inside the fire's own growth and most failures are routes that cross ground which is alight by the time the walker reaches it, while at the two widest most failures are refuges reached only after the evacuation budget has expired, with a few origins walled off from every refuge. That breakdown by failure type is the committed arm's alone; what both constructions agree on is the coarser statement — thin buffers send walkers through burning ground, wide ones strand them — which is why the change of kind is stated here and the counts are not. They do not agree on which buffer width comes off best either, so the dispute above is not confined to the residual it leaves. What the run does not support is any statement about whether a workable width could be chosen in advance: the five widths differ by factors of two, so the grid holds a single point in the region such a claim would be about. One document in the repository still draws the stronger conclusion from those same five points, as do the caveats the registry carries on this arm's own entries; a second document was narrowed to this reading while this paper was being revised, and the rest is an open item there.</w:t>
      </w:r>
    </w:p>
    <w:p>
      <w:r>
        <w:t xml:space="preserve">Two caveats bind the whole comparison. The forecast-aware arm plans on the same hazard field it is graded against, so whatever it is worth against a present-perimeter policy is what a </w:t>
      </w:r>
      <w:r>
        <w:rPr>
          <w:i/>
        </w:rPr>
        <w:t>noiseless</w:t>
      </w:r>
      <w:r>
        <w:t xml:space="preserve"> forecast is worth; this project's own model is worth less, by an amount no run here measures. And this is one fire, one ignition and one departure time: which buffer comes off best is a property of this fire's growth against this road network, and no run tests it on a second one.</w:t>
      </w:r>
    </w:p>
    <w:p>
      <w:pPr>
        <w:pStyle w:val="Heading2"/>
      </w:pPr>
      <w:r>
        <w:t>4.6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one committed route pair as the forecast field is dilated, with the pedestrian cutoff and the radius at which the forecast-aware route first crosses it. ⚠ Scope: that pair is a real pipeline output but its origin differs from the committed </w:t>
      </w:r>
      <w:r>
        <w:rPr>
          <w:rFonts w:ascii="Consolas" w:hAnsi="Consolas"/>
          <w:sz w:val="19"/>
        </w:rPr>
        <w:t>routing_demo.json</w:t>
      </w:r>
      <w:r>
        <w:rPr>
          <w:sz w:val="19"/>
        </w:rPr>
        <w:t xml:space="preserve"> headline case, so both artifacts state their result as robustness of the routing </w:t>
      </w:r>
      <w:r>
        <w:rPr>
          <w:i/>
          <w:sz w:val="19"/>
        </w:rPr>
        <w:t>method</w:t>
      </w:r>
      <w:r>
        <w:rPr>
          <w:sz w:val="19"/>
        </w:rPr>
        <w:t xml:space="preserve"> and not a restatement of the headline.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(Fig. 7, left), the share of origins whose fire-blind route fails rises from 0.0961 at 600 minutes to 0.5655 at 30 minutes, a ratio of 5.89. A short-budget failure share is meaningless without its budget attached. The forecast-aware class stays empty here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directional asymmetry of 0.1996 of flat time — which is why the walking graph is directed. Yet the classification barely moves (Fig. 7, centre): 42 origins are safe only on the forecast-aware route at 30 m and 60 m sampling and 41 at 90 m, against 41 in the flat control, and the number whose bucket differs from the flat control at all three intervals is </w:t>
      </w:r>
      <w:r>
        <w:rPr>
          <w:b/>
        </w:rPr>
        <w:t>zero</w:t>
      </w:r>
      <w:r>
        <w:t>, while 179 forecast-aware routes, 39.1 %, differ from the flat control at 60 m. Switching the objective from distance to time under slope timing changes 150 of 458 routes and cuts the longest walk from 444.0 to 352.8 minutes; the flat control changes 0 routes, as it must.</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4.7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synthetic hazard field (Section 3.4)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8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Table 3 tallies deadline-first against nearest-first on two grids: the headline grid of Fig. 8, and an exploratory grid that widens the window axis to twelve points to look for an operating region where the shipped ordering would pay.</w:t>
      </w:r>
    </w:p>
    <w:p>
      <w:r>
        <w:rPr>
          <w:b/>
        </w:rPr>
        <w:t xml:space="preserve">Table 3. </w:t>
      </w:r>
      <w:r>
        <w:t>Deadline-first against nearest-first, on the headline grid and on a widened window axis. The headline grid is four arms by two windows by three service times by three dispatch delays by five team counts; the widened grid replaces the two windows with twelve points from 60 to 600 minutes. Both carry the lineage stated in the caption of Fig. 8. Each entry is a number of configuration cells and its share of that row's grid; these are cells, not people. Every one of the headline grid's 13 wins falls at the exploratory 240-minute window, so the committed-window row is the operationally relevant one. The per-window cell count on the widened axis is its 2,160 cells over twelve window points.</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grid</w:t>
            </w:r>
          </w:p>
        </w:tc>
        <w:tc>
          <w:tcPr>
            <w:tcW w:type="dxa" w:w="1860"/>
          </w:tcPr>
          <w:p>
            <w:r>
              <w:rPr>
                <w:b/>
                <w:sz w:val="19"/>
              </w:rPr>
            </w:r>
            <w:r>
              <w:rPr>
                <w:b/>
                <w:sz w:val="19"/>
              </w:rPr>
              <w:t>cells</w:t>
            </w:r>
          </w:p>
        </w:tc>
        <w:tc>
          <w:tcPr>
            <w:tcW w:type="dxa" w:w="1860"/>
          </w:tcPr>
          <w:p>
            <w:r>
              <w:rPr>
                <w:b/>
                <w:sz w:val="19"/>
              </w:rPr>
            </w:r>
            <w:r>
              <w:rPr>
                <w:b/>
                <w:sz w:val="19"/>
              </w:rPr>
              <w:t>wins</w:t>
            </w:r>
          </w:p>
        </w:tc>
        <w:tc>
          <w:tcPr>
            <w:tcW w:type="dxa" w:w="1860"/>
          </w:tcPr>
          <w:p>
            <w:r>
              <w:rPr>
                <w:b/>
                <w:sz w:val="19"/>
              </w:rPr>
            </w:r>
            <w:r>
              <w:rPr>
                <w:b/>
                <w:sz w:val="19"/>
              </w:rPr>
              <w:t>ties</w:t>
            </w:r>
          </w:p>
        </w:tc>
        <w:tc>
          <w:tcPr>
            <w:tcW w:type="dxa" w:w="1860"/>
          </w:tcPr>
          <w:p>
            <w:r>
              <w:rPr>
                <w:b/>
                <w:sz w:val="19"/>
              </w:rPr>
            </w:r>
            <w:r>
              <w:rPr>
                <w:b/>
                <w:sz w:val="19"/>
              </w:rPr>
              <w:t>losses</w:t>
            </w:r>
          </w:p>
        </w:tc>
      </w:tr>
      <w:tr>
        <w:tc>
          <w:tcPr>
            <w:tcW w:type="dxa" w:w="1860"/>
          </w:tcPr>
          <w:p>
            <w:r>
              <w:rPr>
                <w:sz w:val="19"/>
              </w:rPr>
            </w:r>
            <w:r>
              <w:rPr>
                <w:sz w:val="19"/>
              </w:rPr>
              <w:t>Headline, both windows</w:t>
            </w:r>
          </w:p>
        </w:tc>
        <w:tc>
          <w:tcPr>
            <w:tcW w:type="dxa" w:w="1860"/>
          </w:tcPr>
          <w:p>
            <w:r>
              <w:rPr>
                <w:sz w:val="19"/>
              </w:rPr>
            </w:r>
            <w:r>
              <w:rPr>
                <w:sz w:val="19"/>
              </w:rPr>
              <w:t>360</w:t>
            </w:r>
          </w:p>
        </w:tc>
        <w:tc>
          <w:tcPr>
            <w:tcW w:type="dxa" w:w="1860"/>
          </w:tcPr>
          <w:p>
            <w:r>
              <w:rPr>
                <w:sz w:val="19"/>
              </w:rPr>
            </w:r>
            <w:r>
              <w:rPr>
                <w:sz w:val="19"/>
              </w:rPr>
              <w:t>13 (3.6 %)</w:t>
            </w:r>
          </w:p>
        </w:tc>
        <w:tc>
          <w:tcPr>
            <w:tcW w:type="dxa" w:w="1860"/>
          </w:tcPr>
          <w:p>
            <w:r>
              <w:rPr>
                <w:sz w:val="19"/>
              </w:rPr>
            </w:r>
            <w:r>
              <w:rPr>
                <w:sz w:val="19"/>
              </w:rPr>
              <w:t>132 (36.7 %)</w:t>
            </w:r>
          </w:p>
        </w:tc>
        <w:tc>
          <w:tcPr>
            <w:tcW w:type="dxa" w:w="1860"/>
          </w:tcPr>
          <w:p>
            <w:r>
              <w:rPr>
                <w:sz w:val="19"/>
              </w:rPr>
            </w:r>
            <w:r>
              <w:rPr>
                <w:sz w:val="19"/>
              </w:rPr>
              <w:t>215 (59.7 %)</w:t>
            </w:r>
          </w:p>
        </w:tc>
      </w:tr>
      <w:tr>
        <w:tc>
          <w:tcPr>
            <w:tcW w:type="dxa" w:w="1860"/>
          </w:tcPr>
          <w:p>
            <w:r>
              <w:rPr>
                <w:sz w:val="19"/>
              </w:rPr>
            </w:r>
            <w:r>
              <w:rPr>
                <w:sz w:val="19"/>
              </w:rPr>
              <w:t>Headline, committed 75-min window</w:t>
            </w:r>
          </w:p>
        </w:tc>
        <w:tc>
          <w:tcPr>
            <w:tcW w:type="dxa" w:w="1860"/>
          </w:tcPr>
          <w:p>
            <w:r>
              <w:rPr>
                <w:sz w:val="19"/>
              </w:rPr>
            </w:r>
            <w:r>
              <w:rPr>
                <w:sz w:val="19"/>
              </w:rPr>
              <w:t>180</w:t>
            </w:r>
          </w:p>
        </w:tc>
        <w:tc>
          <w:tcPr>
            <w:tcW w:type="dxa" w:w="1860"/>
          </w:tcPr>
          <w:p>
            <w:r>
              <w:rPr>
                <w:sz w:val="19"/>
              </w:rPr>
            </w:r>
            <w:r>
              <w:rPr>
                <w:b/>
                <w:sz w:val="19"/>
              </w:rPr>
              <w:t>0</w:t>
            </w:r>
            <w:r>
              <w:rPr>
                <w:sz w:val="19"/>
              </w:rPr>
              <w:t xml:space="preserve"> (0.0 %)</w:t>
            </w:r>
          </w:p>
        </w:tc>
        <w:tc>
          <w:tcPr>
            <w:tcW w:type="dxa" w:w="1860"/>
          </w:tcPr>
          <w:p>
            <w:r>
              <w:rPr>
                <w:sz w:val="19"/>
              </w:rPr>
            </w:r>
            <w:r>
              <w:rPr>
                <w:sz w:val="19"/>
              </w:rPr>
              <w:t>88 (48.9 %)</w:t>
            </w:r>
          </w:p>
        </w:tc>
        <w:tc>
          <w:tcPr>
            <w:tcW w:type="dxa" w:w="1860"/>
          </w:tcPr>
          <w:p>
            <w:r>
              <w:rPr>
                <w:sz w:val="19"/>
              </w:rPr>
            </w:r>
            <w:r>
              <w:rPr>
                <w:sz w:val="19"/>
              </w:rPr>
              <w:t>92 (51.1 %)</w:t>
            </w:r>
          </w:p>
        </w:tc>
      </w:tr>
      <w:tr>
        <w:tc>
          <w:tcPr>
            <w:tcW w:type="dxa" w:w="1860"/>
          </w:tcPr>
          <w:p>
            <w:r>
              <w:rPr>
                <w:sz w:val="19"/>
              </w:rPr>
            </w:r>
            <w:r>
              <w:rPr>
                <w:sz w:val="19"/>
              </w:rPr>
              <w:t>Widened window axis, 60–600 min</w:t>
            </w:r>
          </w:p>
        </w:tc>
        <w:tc>
          <w:tcPr>
            <w:tcW w:type="dxa" w:w="1860"/>
          </w:tcPr>
          <w:p>
            <w:r>
              <w:rPr>
                <w:sz w:val="19"/>
              </w:rPr>
            </w:r>
            <w:r>
              <w:rPr>
                <w:sz w:val="19"/>
              </w:rPr>
              <w:t>2,160</w:t>
            </w:r>
          </w:p>
        </w:tc>
        <w:tc>
          <w:tcPr>
            <w:tcW w:type="dxa" w:w="1860"/>
          </w:tcPr>
          <w:p>
            <w:r>
              <w:rPr>
                <w:sz w:val="19"/>
              </w:rPr>
            </w:r>
            <w:r>
              <w:rPr>
                <w:sz w:val="19"/>
              </w:rPr>
              <w:t>115 (5.3 %)</w:t>
            </w:r>
          </w:p>
        </w:tc>
        <w:tc>
          <w:tcPr>
            <w:tcW w:type="dxa" w:w="1860"/>
          </w:tcPr>
          <w:p>
            <w:r>
              <w:rPr>
                <w:sz w:val="19"/>
              </w:rPr>
            </w:r>
            <w:r>
              <w:rPr>
                <w:sz w:val="19"/>
              </w:rPr>
              <w:t>561 (26.0 %)</w:t>
            </w:r>
          </w:p>
        </w:tc>
        <w:tc>
          <w:tcPr>
            <w:tcW w:type="dxa" w:w="1860"/>
          </w:tcPr>
          <w:p>
            <w:r>
              <w:rPr>
                <w:sz w:val="19"/>
              </w:rPr>
            </w:r>
            <w:r>
              <w:rPr>
                <w:sz w:val="19"/>
              </w:rPr>
              <w:t>1,484 (68.7 %)</w:t>
            </w:r>
          </w:p>
        </w:tc>
      </w:tr>
      <w:tr>
        <w:tc>
          <w:tcPr>
            <w:tcW w:type="dxa" w:w="1860"/>
          </w:tcPr>
          <w:p>
            <w:r>
              <w:rPr>
                <w:sz w:val="19"/>
              </w:rPr>
            </w:r>
            <w:r>
              <w:rPr>
                <w:sz w:val="19"/>
              </w:rPr>
              <w:t>Widened axis, at the 600-min window</w:t>
            </w:r>
          </w:p>
        </w:tc>
        <w:tc>
          <w:tcPr>
            <w:tcW w:type="dxa" w:w="1860"/>
          </w:tcPr>
          <w:p>
            <w:r>
              <w:rPr>
                <w:sz w:val="19"/>
              </w:rPr>
            </w:r>
            <w:r>
              <w:rPr>
                <w:sz w:val="19"/>
              </w:rPr>
              <w:t>180</w:t>
            </w:r>
          </w:p>
        </w:tc>
        <w:tc>
          <w:tcPr>
            <w:tcW w:type="dxa" w:w="1860"/>
          </w:tcPr>
          <w:p>
            <w:r>
              <w:rPr>
                <w:sz w:val="19"/>
              </w:rPr>
            </w:r>
            <w:r>
              <w:rPr>
                <w:sz w:val="19"/>
              </w:rPr>
              <w:t>22 (12.2 %)</w:t>
            </w:r>
          </w:p>
        </w:tc>
        <w:tc>
          <w:tcPr>
            <w:tcW w:type="dxa" w:w="1860"/>
          </w:tcPr>
          <w:p>
            <w:r>
              <w:rPr>
                <w:sz w:val="19"/>
              </w:rPr>
            </w:r>
            <w:r>
              <w:rPr>
                <w:sz w:val="19"/>
              </w:rPr>
              <w:t>22 (12.2 %)</w:t>
            </w:r>
          </w:p>
        </w:tc>
        <w:tc>
          <w:tcPr>
            <w:tcW w:type="dxa" w:w="1860"/>
          </w:tcPr>
          <w:p>
            <w:r>
              <w:rPr>
                <w:sz w:val="19"/>
              </w:rPr>
            </w:r>
            <w:r>
              <w:rPr>
                <w:sz w:val="19"/>
              </w:rPr>
              <w:t>136 (75.6 %)</w:t>
            </w:r>
          </w:p>
        </w:tc>
      </w:tr>
    </w:tbl>
    <w:p/>
    <w:p>
      <w:r>
        <w:t>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 Over the widened axis it beats unsorted order in only 31.5 % of cells and the random mean in 37.8 %.</w:t>
      </w:r>
    </w:p>
    <w:p>
      <w:r>
        <w:t xml:space="preserve">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 Widening the window does not repair that: the first win comes at 120 minutes, and neither a window threshold nor the number of distinct deadlines separates a winning region, 1,580 cells failing to win despite having at least as many deadlines as the lowest-scoring winning cell. No operating region recommends the shipped ordering, and the paper does not construct one. What the analysis does establish positively is reproducibility: re-deriving 3,744 values from the earlier run cell by cell produced </w:t>
      </w:r>
      <w:r>
        <w:rPr>
          <w:b/>
        </w:rPr>
        <w:t>0</w:t>
      </w:r>
      <w:r>
        <w:t xml:space="preserve"> differences.</w:t>
      </w:r>
    </w:p>
    <w:p>
      <w:pPr>
        <w:pStyle w:val="Heading2"/>
      </w:pPr>
      <w:r>
        <w:t>4.8 How early could a satellite have seen these fires?</w:t>
      </w:r>
    </w:p>
    <w:p>
      <w:r>
        <w:t xml:space="preserve">Four of the six fires fall inside the GK2A archive and three produced a detection under the rule of Section 3.1 (Table 4). In each, the first satellite-detectable anomaly follows the fire's recorded occurrence time by 22 to 64 minutes. </w:t>
      </w:r>
      <w:r>
        <w:rPr>
          <w:b/>
        </w:rPr>
        <w:t>That reference clock is the weakest part of the measurement and we do not lean on it</w:t>
      </w:r>
      <w:r>
        <w:t>, for the reasons given in the caption and in Section 5.</w:t>
      </w:r>
    </w:p>
    <w:p>
      <w:r>
        <w:rPr>
          <w:b/>
        </w:rPr>
        <w:t xml:space="preserve">Table 4. </w:t>
      </w:r>
      <w:r>
        <w:t xml:space="preserve">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[19]</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not an operating characteristic. What survives is narrow: a 2 km pixel does not see a fire until it is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will the fire be"; a household needs "is my route still passable when I get there", and the two differ because a slow walker's arrival time is a variable in the answer. Section 4.3 is the measurable form of that difference, and Section 4.5 bounds how much of it belongs to the forecast rather than to hazard awareness of any kind: on the one region where the stronger opponent has been built, most of the same origins are recovered by refusing where the fire is now, with no model at all. It is not a claim that the system knows where the fire will be: the router needs ranking quality, not per-cell precision, because it cuts a cumulative, survival-accumulated surface at its own threshold. That the surface itself goes unchecked is the first limitation in Section 6.</w:t>
      </w:r>
    </w:p>
    <w:p>
      <w:r>
        <w:rPr>
          <w:b/>
        </w:rPr>
        <w:t>Why n = 6 forbids a threshold guarantee.</w:t>
      </w:r>
      <w:r>
        <w:t xml:space="preserve"> Section 4.2 quantifies why the intuition that a distribution-free method rescues a small-sample setting is wrong: small-N event datasets do not get guarantees by changing the calibration method, but by having more events.</w:t>
      </w:r>
    </w:p>
    <w:p>
      <w:r>
        <w:rPr>
          <w:b/>
        </w:rPr>
        <w:t>Where the trigger comes from, and where the warning goes.</w:t>
      </w:r>
      <w:r>
        <w:t xml:space="preserve"> Section 4.8 establishes a floor: a 2 km geostationary pixel cannot see a fire below roughly a hectare, so a satellite trigger cannot be an ignition-scale alarm whatever its cadence, and the system treats it as corroboration. A floor of that kind rules a source out of the primary slot; it puts nothing into it. The project's design notes had drawn two further readings from it and both are </w:t>
      </w:r>
      <w:r>
        <w:rPr>
          <w:b/>
        </w:rPr>
        <w:t>withdrawn</w:t>
      </w:r>
      <w:r>
        <w:t>, with no number moving: that the satellite arrives after the emergency call, whose time no artifact here records, and that human report is therefore the primary channel — a channel this repository has never measured. The system is built to the narrow statement rather than its converse. The survey evidence at the other end is firmer, and is the measured reason the outputs are a sheet a village head can read aloud and a household-ordered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 The same discipline stopped an input before it reached this paper: a designated-site subset labelled with a county name was refused when its points proved to lie outside that county's own study box — a label checked against the geometry it claims rather than against a code table. It was re-cut on the right administrative code, and only then used as the inventory Section 6 reports.</w:t>
      </w:r>
    </w:p>
    <w:p>
      <w:r>
        <w:rPr>
          <w:b/>
        </w:rPr>
        <w:t>What outside readers asked first.</w:t>
      </w:r>
      <w:r>
        <w:t xml:space="preserve"> Three domain researchers replied in writing to the author in September 2026; their comments are design feedback rather than data. One of them put two questions that nothing measured here answers: whether prioritising rescue need by age alone stays appropriate in an ageing population, and whether these results are usable without modelling how forest-fire suppression and residential emergency response divide roles during a fire. Another's off-network walking point is a limitation in Section 6.</w:t>
      </w:r>
    </w:p>
    <w:p>
      <w:r>
        <w:rPr>
          <w:i/>
          <w:color w:val="B42318"/>
        </w:rPr>
        <w:t>[GAP: the practitioner consultations — a fire-service duty officer, a village head and a social worker — have not happened; they are design feedback rather than collected data, and any quotation from them needs the author's consent handling first]</w:t>
      </w:r>
    </w:p>
    <w:p>
      <w:pPr>
        <w:pStyle w:val="Heading1"/>
      </w:pPr>
      <w:r>
        <w:t>6. Limitations</w:t>
      </w:r>
    </w:p>
    <w:p>
      <w:r>
        <w:rPr>
          <w:b/>
        </w:rPr>
        <w:t>The routing result is graded against the predicted field, not against observed burn.</w:t>
      </w:r>
      <w:r>
        <w:t xml:space="preserve"> This is the objection we would raise first against this paper.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Every control here perturbs the predicted field, so none admits external truth. </w:t>
      </w:r>
      <w:r>
        <w:rPr>
          <w:i/>
          <w:color w:val="B42318"/>
        </w:rPr>
        <w:t>[GAP: settling this needs a third routing pass over the same 458 origins on a hindsight field rasterised from the observed FIRMS detections, reporting how many of the 42 fire-blind routes intersect observed burn inside the walker's arrival window. Those detections are not distributed with the repository, and the two committed manifests for this fire place its ignition point about 30 km apart]</w:t>
      </w:r>
    </w:p>
    <w:p>
      <w:r>
        <w:rPr>
          <w:b/>
        </w:rPr>
        <w:t>The counterfactual was weak, and the stronger one is run on only one region.</w:t>
      </w:r>
      <w:r>
        <w:t xml:space="preserve"> Every contrast in Sections 4.3 and 4.4 is against a fire-blind baseline. Section 4.5 replaces it on Uiseong-Andong with a present-perimeter opponent and most of that region's contrast does not survive the substitution. The same substitution has not been made on the canonical Yeongdeok field, so the 42 of Section 4.3 remains a fire-blind contrast and must be read as one; and even where the substitution has been made, the residual difference is not reported, because two defensible builds of that opponent disagree about it.</w:t>
      </w:r>
    </w:p>
    <w:p>
      <w:r>
        <w:rPr>
          <w:b/>
        </w:rPr>
        <w:t>Six fires, and not six independent ones.</w:t>
      </w:r>
      <w:r>
        <w:t xml:space="preserve"> Because Uiseong-Andong 2025 and Yeongdeok 2025 belong to one chain (Section 3.1), the Yeongdeok fold's training data may contain cells of the same fire complex as the fire it is scored on, and a leak-free refit has not been run. </w:t>
      </w:r>
      <w:r>
        <w:rPr>
          <w:i/>
          <w:color w:val="B42318"/>
        </w:rPr>
        <w:t>[GAP: refitting that fold with the co-located fire excluded, re-simulating its field and routing the same 458 origins needs the raw acquisition bundle the repository does not distribute; this is the experiment most likely to move the 42-origin result]</w:t>
      </w:r>
    </w:p>
    <w:p>
      <w:r>
        <w:rPr>
          <w:b/>
        </w:rPr>
        <w:t>Coverage</w:t>
      </w:r>
      <w:r>
        <w:t>: every absolute Yeongdeok rate rests on a walk network holding 32.6 % of that fire's predicted core (Section 4.3).</w:t>
      </w:r>
    </w:p>
    <w:p>
      <w:r>
        <w:rPr>
          <w:b/>
        </w:rPr>
        <w:t>Origins are not households, and no interval attaches to a share of them.</w:t>
      </w:r>
      <w:r>
        <w:t xml:space="preserve"> They are walk-graph nodes at a fixed stride, so their distribution reflects road-network structure. They are also not a probability sample: the 458 are a deterministic systematic subsample — every 18th of the walk graph's 8,443 nodes, then filtered by the hazard at time zero and by a band around the predicted core — so no design-based standard error is defined for the shares in Sections 4.3 and 4.4, and neighbouring origins are not independent.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 named "forecast-aware route exceeds budget" names a cause its code condition does not establish; it is empty at Yeongdeok, and elsewhere the search did not complete within the scan's constraints. None was fixed; all divide out of the paired contrasts.</w:t>
      </w:r>
    </w:p>
    <w:p>
      <w:r>
        <w:rPr>
          <w:b/>
        </w:rPr>
        <w:t>A pedestrian is not confined to the graph, but this router is.</w:t>
      </w:r>
      <w:r>
        <w:t xml:space="preserve"> A walker can cross a field or a yard where a vehicle cannot, so a shortest-path formulation borrowed from road-bound traffic may not transfer cleanly on foot — a point put to the author in written comments by an external researcher in September 2026. Every route here stays on mapped ways, and whether that makes the reported failures pessimistic or optimistic is unmeasured.</w:t>
      </w:r>
    </w:p>
    <w:p>
      <w:r>
        <w:rPr>
          <w:b/>
        </w:rPr>
        <w:t>Assumptions the results ride on.</w:t>
      </w:r>
      <w:r>
        <w:t xml:space="preserve"> A fixed 0.7 m/s gait speed with no individual variation and no pre-movement delay; an immobile fraction of 0.3; a pedestrian cutoff of 0.5 and a vehicle cutoff of 0.7; dispatch operational windows, service times and team counts that are proof-of-concept parameters, not measured capacity — the committed 75-minute window is an assumed constant and nothing here grounds it; and refuge semantics from OpenStreetMap tags, which in rural Korea return parks and pavilions unless corrected for local village-hall tagging.</w:t>
      </w:r>
    </w:p>
    <w:p>
      <w:r>
        <w:rPr>
          <w:b/>
        </w:rPr>
        <w:t>Every refuge in this paper is an OpenStreetMap point, and a designated list now exists that no result here uses.</w:t>
      </w:r>
      <w:r>
        <w:t xml:space="preserve"> An agency-designated inventory for Yeongdeok-gun entered the repository from the 주소정보누리집 address portal of Korea's Ministry of the Interior and Safety: on the 2025-03-01 cut, 64 earthquake outdoor evacuation sites, 92 tsunami emergency evacuation sites and 17 cooling centres; on the 2024-01-24 cut, 55 public-service agency points, four of them fire-service and six police — candidate depots where Table 2 puts OpenStreetMap depot density at 0.45 per 100 km². None is a </w:t>
      </w:r>
      <w:r>
        <w:rPr>
          <w:i/>
        </w:rPr>
        <w:t>wildfire</w:t>
      </w:r>
      <w:r>
        <w:t xml:space="preserve"> refuge: the designated categories here are earthquake, tsunami and heat, and this subset is seven of the portal's point layers rather than its whole taxonomy, so it narrows the question rather than answering it. The two sets are also not on one extent and must not be differenced as they stand: the designated counts are for the whole county, between 77 % and 84 % of each layer falling inside the canonical walk box, while the router's refuges are counted inside that box alone. </w:t>
      </w:r>
      <w:r>
        <w:rPr>
          <w:i/>
          <w:color w:val="B42318"/>
        </w:rPr>
        <w:t>[GAP: the router's 50 OpenStreetMap refuge points have not been compared against that designated list, so how far the routing results depend on refuge provenance is unmeasured. Both inputs are committed and the comparison is runnable now: clip the designated sites to the walk box, re-snap the refuges, and re-run the same 458 origins on the same canonical field]</w:t>
      </w:r>
    </w:p>
    <w:p>
      <w:r>
        <w:rPr>
          <w:b/>
        </w:rPr>
        <w:t>The detection measurement rests on three fires and an unsourced clock.</w:t>
      </w:r>
      <w:r>
        <w:t xml:space="preserve"> No night-time detection appears in the sample, so night performance is unmeasured. Only the size floor stands on its own. </w:t>
      </w:r>
      <w:r>
        <w:rPr>
          <w:i/>
          <w:color w:val="B42318"/>
        </w:rPr>
        <w:t>[GAP: the reference times come from a manifest field marked provenance only. No entry names a report time and none says what the field is, so the delays can be read against neither the true ignition nor the emergency call and the sign of the error is unknown in both directions. One record of the 신고접수시각 for one of these fires would settle it]</w:t>
      </w:r>
    </w:p>
    <w:p>
      <w:r>
        <w:rPr>
          <w:b/>
        </w:rPr>
        <w:t>Operational status.</w:t>
      </w:r>
      <w:r>
        <w:t xml:space="preserve"> No trigger has ever fired on a live detection and the messaging layer is a dry run: the SMS path is simulated, private cell-broadcast origination is not authorized in Korea, and the approval-gated email channel has never completed a verification send. Nothing here reached a real resident or a real crew.</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household-level decisions measurably, as a paired contrast — 42 of 458 scanned origins on the canonical Yeongdeok field reach a refuge only under the forecast-aware policy, on a network covering 32.6 % of that fire's predicted core. That contrast is against a fire-blind baseline, and Section 4.5 shows on a second region that a policy which refuses only where the fire is now recovers most of it — so the claim is about coupling a hazard field into the routing at all, and the part attributable to the forecast is smaller and, on the evidence here, not yet a single number.</w:t>
      </w:r>
    </w:p>
    <w:p>
      <w:r>
        <w:t>The rest of the contribution is the instrument, and the instrument is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own design notes had drawn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Every measured number in this paper is registered in </w:t>
      </w:r>
      <w:r>
        <w:rPr>
          <w:rFonts w:ascii="Consolas" w:hAnsi="Consolas"/>
          <w:sz w:val="19"/>
        </w:rPr>
        <w:t>docs/NUMBERS.json</w:t>
      </w:r>
      <w:r>
        <w:t xml:space="preserve"> with its source artifact, derivation and caveat, and re-derived from that artifact by </w:t>
      </w:r>
      <w:r>
        <w:rPr>
          <w:rFonts w:ascii="Consolas" w:hAnsi="Consolas"/>
          <w:sz w:val="19"/>
        </w:rPr>
        <w:t>make verify</w:t>
      </w:r>
      <w:r>
        <w:t xml:space="preserve">; externally sourced figures are attributed in place with agency, date and scope. Figures are regenerated from committed artifacts by </w:t>
      </w:r>
      <w:r>
        <w:rPr>
          <w:rFonts w:ascii="Consolas" w:hAnsi="Consolas"/>
          <w:sz w:val="19"/>
        </w:rPr>
        <w:t>paper/make_figures.py</w:t>
      </w:r>
      <w:r>
        <w:t xml:space="preserve"> and none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Cova, Thomas J. and Johnson, Justin P. "A network flow model for lane-based evacuation routing." Transportation Research Part A: Policy and Practice, 2003. https://doi.org/10.1016/S0965-8564(03)00007-7</w:t>
      </w:r>
    </w:p>
    <w:p>
      <w:pPr>
        <w:ind w:left="454" w:hanging="454"/>
      </w:pPr>
      <w:r>
        <w:rPr>
          <w:sz w:val="19"/>
        </w:rPr>
        <w:t>[11]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[12]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[13]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[14] Li, Dapeng and Cova, Thomas J. and Dennison, Philip E. "Using reverse geocoding to identify prominent wildfire evacuation trigger points." Applied Geography, 2017. https://doi.org/10.1016/j.apgeog.2017.05.008</w:t>
      </w:r>
    </w:p>
    <w:p>
      <w:pPr>
        <w:ind w:left="454" w:hanging="454"/>
      </w:pPr>
      <w:r>
        <w:rPr>
          <w:sz w:val="19"/>
        </w:rPr>
        <w:t>[15]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[16]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[17]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[18]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[19] Dozier, Jeff "A method for satellite identification of surface temperature fields of subpixel resolution." Remote Sensing of Environment, 1981. https://doi.org/10.1016/0034-4257(81)90021-3</w:t>
      </w:r>
    </w:p>
    <w:p>
      <w:pPr>
        <w:ind w:left="454" w:hanging="454"/>
      </w:pPr>
      <w:r>
        <w:rPr>
          <w:sz w:val="19"/>
        </w:rPr>
        <w:t>[20]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[21] Studenski, Stephanie and Perera, Subashan and Patel, Kushang and others "Gait speed and survival in older adults." JAMA, 2011. https://pubmed.ncbi.nlm.nih.gov/21205966/</w:t>
      </w:r>
    </w:p>
    <w:p>
      <w:pPr>
        <w:ind w:left="454" w:hanging="454"/>
      </w:pPr>
      <w:r>
        <w:rPr>
          <w:sz w:val="19"/>
        </w:rPr>
        <w:t>[22] NASA "Fire Information for Resource Management System (FIRMS)." 2026. https://firms.modaps.eosdis.nasa.gov/</w:t>
      </w:r>
    </w:p>
    <w:p>
      <w:pPr>
        <w:ind w:left="454" w:hanging="454"/>
      </w:pPr>
      <w:r>
        <w:rPr>
          <w:sz w:val="19"/>
        </w:rPr>
        <w:t>[23] Hersbach, Hans and others "ERA5 hourly data on single levels from 1940 to present." Copernicus Climate Change Service (C3S) Climate Data Store, 2023. https://cds.climate.copernicus.eu/datasets/reanalysis-era5-single-levels</w:t>
      </w:r>
    </w:p>
    <w:p>
      <w:pPr>
        <w:ind w:left="454" w:hanging="454"/>
      </w:pPr>
      <w:r>
        <w:rPr>
          <w:sz w:val="19"/>
        </w:rPr>
        <w:t>[24] Farr, Tom G. and Rosen, Paul A. and Caro, Edward and others "The Shuttle Radar Topography Mission." Reviews of Geophysics, 2007. https://doi.org/10.1029/2005RG000183</w:t>
      </w:r>
    </w:p>
    <w:p>
      <w:pPr>
        <w:ind w:left="454" w:hanging="454"/>
      </w:pPr>
      <w:r>
        <w:rPr>
          <w:sz w:val="19"/>
        </w:rPr>
        <w:t>[25] ESA WorldCover consortium "ESA WorldCover: global land cover at 10 m from Sentinel-1 and Sentinel-2." 2021. https://esa-worldcover.org/en</w:t>
      </w:r>
    </w:p>
    <w:p>
      <w:pPr>
        <w:ind w:left="454" w:hanging="454"/>
      </w:pPr>
      <w:r>
        <w:rPr>
          <w:sz w:val="19"/>
        </w:rPr>
        <w:t>[26] Boeing, Geoff "OSMnx: new methods for acquiring, constructing, analyzing, and visualizing complex street networks." Computers, Environment and Urban Systems, 2017. https://doi.org/10.1016/j.compenvurbsys.2017.05.004</w:t>
      </w:r>
    </w:p>
    <w:p>
      <w:pPr>
        <w:ind w:left="454" w:hanging="454"/>
      </w:pPr>
      <w:r>
        <w:rPr>
          <w:sz w:val="19"/>
        </w:rPr>
        <w:t>[27]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