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2026-09-04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in Korea during the March 2025 Gyeongbuk wildfires, the largest on the country's record by burned area. Neither produced the last-kilometre answer a rural household needs: which way to walk now, and whether a rescue crew can still reach the house. WildfireGuardian couples an event-held-out ignition-probability model to a time-expanded pedestrian router and a rescue-ingress calculation, and reports every published number through a registry that re-derives it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when the router accounts for where the fire will be, and 2 have no safe walking route, on a network covering 32.6 % of the predicted fire core whose bias runs in an unmeasured direction.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We argue that on a six-event dataset the transferable contribution is the evaluation design — paired contrasts, matched null controls, and a registry that keeps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from 2,246 households, at an assessed 1.05 trillion won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as of 08:30 on 30 March 2025 </w:t>
      </w:r>
      <w:r>
        <w:t>[2]</w:t>
      </w:r>
      <w:r>
        <w:t xml:space="preserve">; Yeongdeok-gun's notice of 29 April puts 10 of them in Yeongdeok where that count had 9, and this paper keeps both rather than asserting one </w:t>
      </w:r>
      <w:r>
        <w:t>[3]</w:t>
      </w:r>
      <w:r>
        <w:t xml:space="preserve">. A rapid attribution study of 30 April 2025 assigns those deaths differently between districts and counts alongside them the dead of a separate fire in Sancheong, on a "southeastern Korea" extent of "more than 48,000 hectares" that is not the chain's </w:t>
      </w:r>
      <w:r>
        <w:t>[4]</w:t>
      </w:r>
      <w:r>
        <w:t xml:space="preserve">. Nationwide totals are compiled on another basis over another period — the Korea Forest Service's spring fire-watch season, not March — so this paper states the chain's share of any nationwide total nowhere. The service has said that a fire-affected area, read off the fire line for suppression planning, and a surveyed damage area are different concepts that cannot simply be compared </w:t>
      </w:r>
      <w:r>
        <w:t>[5]</w:t>
      </w:r>
      <w:r>
        <w:t>.</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[3]</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4.7 measures the fastest satellite product over Korea. Its first anomaly comes 22 to 64 minutes after the recorded occurrence time, at a size floor of 0.1 to 1 hectare — too coarse for an ignition, on a clock whose relation to the emergency call this repository cannot establish. The gap was not that nobody knew; it was between knowing and acting. A district-level probability does not tell one household on one lane which direction is still walkable at 09:40, nor a fire crew which of the houses that cannot self-evacuate they can still drive to, or for how much longer. That gap is sharpest exactly where the deaths occurred — in dispersed rural settlement, among residents who walk slowly, on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and this paper is as much about the evaluation design under which it was built. It fits a per-cell ignition-probability model, propagates it into a time-sliced hazard field, and consumes that field twice: in a time-expanded pedestrian router that refuses nodes whose forecast risk will have crossed a cutoff by the time a slow walker arrives, and in a rescue-ingress calculation asking when each approach corridor closes to a vehicle. Its outputs are operator documents.</w:t>
      </w:r>
    </w:p>
    <w:p>
      <w:r>
        <w:t>We make three claims. The coupling changes decisions, measurably, as a paired contrast: both arms of Section 4.3 run over the same origins, network and field, so neither the routing layer's known approximations nor the coverage limit contaminates it. The operating point is weak, and owning that is part of the result. And the evaluation design is the transferable part: what six fires permit, and a large dataset makes easy to skip, is the discipline of matched controls of Section 3.5. The non-claim is the dispatch ordering: against nearest-first it wins 0 of 180 configuration cells at the operating window.</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[7]</w:t>
      </w:r>
      <w:r>
        <w:t xml:space="preserve">, and the WSTS+ extension, which doubles the unique years of history and reports that time-series inputs beat single-day inputs </w:t>
      </w:r>
      <w:r>
        <w:t>[8]</w:t>
      </w:r>
      <w:r>
        <w:t xml:space="preserve">. Six Korean fires cannot compete on that axis, and the metrics are not comparable across these settings anyway: label definition, geometry and above all prevalence differ, and prevalence moves average precision by construction. Physical modelling supplies the alternative framing: minimum-travel-time fire growth </w:t>
      </w:r>
      <w:r>
        <w:t>[9]</w:t>
      </w:r>
      <w:r>
        <w:t>, and an earlier Rothermel-based surface model in this project captured a small fraction of the burned area, which motivated the move to a data-driven field.</w:t>
      </w:r>
    </w:p>
    <w:p>
      <w:r>
        <w:rPr>
          <w:b/>
        </w:rPr>
        <w:t>Evacuation routing.</w:t>
      </w:r>
      <w:r>
        <w:t xml:space="preserve"> Lane-based evacuation routing was posed as a network flow problem two decades ago </w:t>
      </w:r>
      <w:r>
        <w:t>[10]</w:t>
      </w:r>
      <w:r>
        <w:t xml:space="preserve">. Recent work brings wildfire information into that formulation directly: Borgwardt et al. pose wildfire evacuation as maximum flow on a time-expanded network with integrated hazard data </w:t>
      </w:r>
      <w:r>
        <w:t>[11]</w:t>
      </w:r>
      <w:r>
        <w:t xml:space="preserve">, and RESCUE routes under stochastic congestion and uncertain spread </w:t>
      </w:r>
      <w:r>
        <w:t>[12]</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spatial line whose crossing by the fire front should start an evacuation, set by coupling spread modelling to GIS </w:t>
      </w:r>
      <w:r>
        <w:t>[13]</w:t>
      </w:r>
      <w:r>
        <w:t xml:space="preserve">, refined by reverse geocoding to name the road segments that matter </w:t>
      </w:r>
      <w:r>
        <w:t>[14]</w:t>
      </w:r>
      <w:r>
        <w:t xml:space="preserve">, and later coupled to traffic simulation so it accounts for the time evacuation takes </w:t>
      </w:r>
      <w:r>
        <w:t>[15]</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[16]</w:t>
      </w:r>
      <w:r>
        <w:t xml:space="preserve">; the wildland-urban-interface framing follows the standard definition </w:t>
      </w:r>
      <w:r>
        <w:t>[17]</w:t>
      </w:r>
      <w:r>
        <w:t>.</w:t>
      </w:r>
    </w:p>
    <w:p>
      <w:r>
        <w:rPr>
          <w:b/>
        </w:rPr>
        <w:t>Detection.</w:t>
      </w:r>
      <w:r>
        <w:t xml:space="preserve"> Geostationary imagers trade resolution for cadence: GK2A's Advanced Meteorological Imager returns the Korean local area every two minutes at 2 km in the infrared </w:t>
      </w:r>
      <w:r>
        <w:t>[18]</w:t>
      </w:r>
      <w:r>
        <w:t xml:space="preserve">. Section 4.7 measures what that buys, using the mid-infrared contrast and the sub-pixel area inversion standard since Dozier </w:t>
      </w:r>
      <w:r>
        <w:t>[19]</w:t>
      </w:r>
      <w:r>
        <w:t>.</w:t>
      </w:r>
    </w:p>
    <w:p>
      <w:r>
        <w:rPr>
          <w:b/>
        </w:rPr>
        <w:t>Calibration and guarantees.</w:t>
      </w:r>
      <w:r>
        <w:t xml:space="preserve"> Conformal risk control offers distribution-free guarantees on a monotone risk by calibrating a threshold </w:t>
      </w:r>
      <w:r>
        <w:t>[20]</w:t>
      </w:r>
      <w:r>
        <w:t>. Section 4.2 reports what happens when it is applied honestly at six fires: the finite-sample term consumes most of the error budget, and that negative result is the contribution.</w:t>
      </w:r>
    </w:p>
    <w:p>
      <w:r>
        <w:rPr>
          <w:b/>
        </w:rPr>
        <w:t>Walking speed.</w:t>
      </w:r>
      <w:r>
        <w:t xml:space="preserve"> The elderly gait speeds this system assumes sit in the range for which gait speed is an established predictor of survival in older adults </w:t>
      </w:r>
      <w:r>
        <w:t>[21]</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[22]</w:t>
      </w:r>
      <w:r>
        <w:t xml:space="preserve">, whose detection times define the prediction target; weather from ERA5 reanalysis on single levels </w:t>
      </w:r>
      <w:r>
        <w:t>[23]</w:t>
      </w:r>
      <w:r>
        <w:t xml:space="preserve">; terrain from SRTM </w:t>
      </w:r>
      <w:r>
        <w:t>[24]</w:t>
      </w:r>
      <w:r>
        <w:t xml:space="preserve">; fuel from ESA WorldCover at 10 m </w:t>
      </w:r>
      <w:r>
        <w:t>[25]</w:t>
      </w:r>
      <w:r>
        <w:t xml:space="preserve">; and road networks, building footprints and candidate refuge and depot points of interest from OpenStreetMap, graph-built with OSMnx </w:t>
      </w:r>
      <w:r>
        <w:t>[26, 27]</w:t>
      </w:r>
      <w:r>
        <w:t>. No proprietary or paid source is used.</w:t>
      </w:r>
    </w:p>
    <w:p>
      <w:r>
        <w:t xml:space="preserve">One further public input feeds only the detection-timing measurement of Section 4.7: GK2A level-1B radiances,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a field of that form, though not the same instance: the pedestrian results below are computed on this canonical field and the committed responder series on the synthetic one of Section 3.4.</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four limitations of this router, deliberately not fixed. All divide out of a paired contrast: both arms run through the same scoring function on the same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surviving vehicle ingress. An assumed immobile fraction of 0.3 drives the split and is swept. </w:t>
      </w:r>
      <w:r>
        <w:rPr>
          <w:b/>
        </w:rPr>
        <w:t>That series is only a partial flip to real data, and every 439-origin number in this paper inherits it.</w:t>
      </w:r>
      <w:r>
        <w:t xml:space="preserve"> Its roads, refuges and depots are real OpenStreetMap geometry; its hazard field and terrain are labelled synthetic in the artifact's own provenance, the forward simulation needing a raw fire bundle this repository does not distribute. Its policy contrasts are the robust part; its absolute magnitudes are illustrative. The shipped ordering ranks dispatchable homes by urgency — ingress survival minus responder arrival, smallest closing window first — and Section 4.6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runs from -0.0363 at its 5th percentile to +0.0425 at its 95th.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its JSON path, the expression that re-derives it, its caveat, and the phrasings that misstate it; a gate re-derives every entry on every change, scans the prose for retired figures and quantity-name collisions, and refuses a document that states a registered quantity with a different value. Superseded values are annotated in place, never deleted. This manuscript is scanned by that gate like any other document here.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70043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70043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t>Table 1. 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p>
      <w:r>
        <w:rPr>
          <w:b/>
        </w:rPr>
        <w:t xml:space="preserve">Table 1. </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much of this skill is real.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21931"/>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1931"/>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for the reasons given in Section 2 not comparable with published average precision elsewhere.</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[20]</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the forecast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at all for 2 (Fig. 4). No origin falls into the budget-exceeded class at 600 minutes, and none enters the hazard under the forecast-aware policy, which is structural: the policy refuses any node at or above the cutoff.</w:t>
      </w:r>
    </w:p>
    <w:p>
      <w:pPr>
        <w:jc w:val="center"/>
      </w:pPr>
      <w:r>
        <w:drawing>
          <wp:inline xmlns:a="http://schemas.openxmlformats.org/drawingml/2006/main" xmlns:pic="http://schemas.openxmlformats.org/drawingml/2006/picture">
            <wp:extent cx="5760000" cy="2094035"/>
            <wp:docPr id="4" name="Picture 4"/>
            <wp:cNvGraphicFramePr>
              <a:graphicFrameLocks noChangeAspect="1"/>
            </wp:cNvGraphicFramePr>
            <a:graphic>
              <a:graphicData uri="http://schemas.openxmlformats.org/drawingml/2006/picture">
                <pic:pic>
                  <pic:nvPicPr>
                    <pic:cNvPr id="0" name="F5_decision_shift.png"/>
                    <pic:cNvPicPr/>
                  </pic:nvPicPr>
                  <pic:blipFill>
                    <a:blip r:embed="rId12"/>
                    <a:stretch>
                      <a:fillRect/>
                    </a:stretch>
                  </pic:blipFill>
                  <pic:spPr>
                    <a:xfrm>
                      <a:off x="0" y="0"/>
                      <a:ext cx="5760000" cy="2094035"/>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pPr>
        <w:jc w:val="center"/>
      </w:pPr>
      <w:r>
        <w:drawing>
          <wp:inline xmlns:a="http://schemas.openxmlformats.org/drawingml/2006/main" xmlns:pic="http://schemas.openxmlformats.org/drawingml/2006/picture">
            <wp:extent cx="5760000" cy="3546588"/>
            <wp:docPr id="5" name="Picture 5"/>
            <wp:cNvGraphicFramePr>
              <a:graphicFrameLocks noChangeAspect="1"/>
            </wp:cNvGraphicFramePr>
            <a:graphic>
              <a:graphicData uri="http://schemas.openxmlformats.org/drawingml/2006/picture">
                <pic:pic>
                  <pic:nvPicPr>
                    <pic:cNvPr id="0" name="F8_routing_map.png"/>
                    <pic:cNvPicPr/>
                  </pic:nvPicPr>
                  <pic:blipFill>
                    <a:blip r:embed="rId13"/>
                    <a:stretch>
                      <a:fillRect/>
                    </a:stretch>
                  </pic:blipFill>
                  <pic:spPr>
                    <a:xfrm>
                      <a:off x="0" y="0"/>
                      <a:ext cx="5760000" cy="3546588"/>
                    </a:xfrm>
                    <a:prstGeom prst="rect"/>
                  </pic:spPr>
                </pic:pic>
              </a:graphicData>
            </a:graphic>
          </wp:inline>
        </w:drawing>
      </w:r>
    </w:p>
    <w:p>
      <w:pPr>
        <w:jc w:val="center"/>
      </w:pPr>
      <w:r>
        <w:rPr>
          <w:b/>
          <w:sz w:val="19"/>
        </w:rPr>
        <w:t xml:space="preserve">Figure 5. </w:t>
      </w:r>
      <w:r>
        <w:rPr>
          <w:sz w:val="19"/>
        </w:rPr>
        <w:t>The canonical Yeongdeok 2025 case on the SRTM hillshade. (a) Forecast P(ignite) at 720 min, the cells at P ≥ 0.5 at 0 min (teal), the 720-min 0.5 isoline (dashed), the reported ignition (star); the rectangle is the walk-network extent. (b) The walk network, the refuge nodes snapped from 50 OSM points of interest (triangles), all 458 scanned origins classed as in the committed artifact (414 safe on both routes, 42 safe only on the forecast-aware route, 2 with no safe walking route), and three example origins with the fire-blind shortest route (grey, dashed) against the forecast-aware route (red). Routes are recomputed at figure time with the repository's own router from the committed snapshots, and the recomputed partition equals the committed one; the isoline is drawn on a one-cell smoothing of the slice for display only.</w:t>
      </w:r>
    </w:p>
    <w:p>
      <w:r>
        <w:t xml:space="preserve">Two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in this paper carries that caveat; paired contrasts are unaffected, both arms using the same origins. </w:t>
      </w:r>
      <w:r>
        <w:rPr>
          <w:b/>
        </w:rPr>
        <w:t>Second, the field itself was reconstructed.</w:t>
      </w:r>
      <w:r>
        <w:t xml:space="preserve"> An earlier lineage of these counts came from the surviving output of a run reverted the next day; the "quasi-static fire core" limitation recorded against those numbers was a property of that reverted field, not of the fire. On the canonical field the core grows by 316.06 % from the first slice to the last. The lineages differ on more than one axis at once, so the movement between them is not a single-variable contrast and no per-origin ledger exists.</w:t>
      </w:r>
    </w:p>
    <w:p>
      <w:pPr>
        <w:pStyle w:val="Heading2"/>
      </w:pPr>
      <w:r>
        <w:t>4.4 Three regions under one rule</w:t>
      </w:r>
    </w:p>
    <w:p>
      <w:r>
        <w:t>The same rule, parameters and stride ran over two further regions acquired identically (Fig. 5, Table 2).</w:t>
      </w:r>
    </w:p>
    <w:p>
      <w:pPr>
        <w:jc w:val="center"/>
      </w:pPr>
      <w:r>
        <w:drawing>
          <wp:inline xmlns:a="http://schemas.openxmlformats.org/drawingml/2006/main" xmlns:pic="http://schemas.openxmlformats.org/drawingml/2006/picture">
            <wp:extent cx="5760000" cy="2681125"/>
            <wp:docPr id="6" name="Picture 6"/>
            <wp:cNvGraphicFramePr>
              <a:graphicFrameLocks noChangeAspect="1"/>
            </wp:cNvGraphicFramePr>
            <a:graphic>
              <a:graphicData uri="http://schemas.openxmlformats.org/drawingml/2006/picture">
                <pic:pic>
                  <pic:nvPicPr>
                    <pic:cNvPr id="0" name="F3_regions.png"/>
                    <pic:cNvPicPr/>
                  </pic:nvPicPr>
                  <pic:blipFill>
                    <a:blip r:embed="rId14"/>
                    <a:stretch>
                      <a:fillRect/>
                    </a:stretch>
                  </pic:blipFill>
                  <pic:spPr>
                    <a:xfrm>
                      <a:off x="0" y="0"/>
                      <a:ext cx="5760000" cy="2681125"/>
                    </a:xfrm>
                    <a:prstGeom prst="rect"/>
                  </pic:spPr>
                </pic:pic>
              </a:graphicData>
            </a:graphic>
          </wp:inline>
        </w:drawing>
      </w:r>
    </w:p>
    <w:p>
      <w:pPr>
        <w:jc w:val="center"/>
      </w:pPr>
      <w:r>
        <w:rPr>
          <w:b/>
          <w:sz w:val="19"/>
        </w:rPr>
        <w:t xml:space="preserve">Figure 6.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t>Table 2. 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p>
      <w:r>
        <w:rPr>
          <w:b/>
        </w:rPr>
        <w:t xml:space="preserve">Table 2. </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as zero dispatches.</w:t>
      </w:r>
    </w:p>
    <w:p>
      <w:pPr>
        <w:pStyle w:val="Heading2"/>
      </w:pPr>
      <w:r>
        <w:t>4.5 Sensitivity and controls</w:t>
      </w:r>
    </w:p>
    <w:p>
      <w:pPr>
        <w:jc w:val="center"/>
      </w:pPr>
      <w:r>
        <w:drawing>
          <wp:inline xmlns:a="http://schemas.openxmlformats.org/drawingml/2006/main" xmlns:pic="http://schemas.openxmlformats.org/drawingml/2006/picture">
            <wp:extent cx="5760000" cy="2270283"/>
            <wp:docPr id="7" name="Picture 7"/>
            <wp:cNvGraphicFramePr>
              <a:graphicFrameLocks noChangeAspect="1"/>
            </wp:cNvGraphicFramePr>
            <a:graphic>
              <a:graphicData uri="http://schemas.openxmlformats.org/drawingml/2006/picture">
                <pic:pic>
                  <pic:nvPicPr>
                    <pic:cNvPr id="0" name="F6_sensitivity.png"/>
                    <pic:cNvPicPr/>
                  </pic:nvPicPr>
                  <pic:blipFill>
                    <a:blip r:embed="rId15"/>
                    <a:stretch>
                      <a:fillRect/>
                    </a:stretch>
                  </pic:blipFill>
                  <pic:spPr>
                    <a:xfrm>
                      <a:off x="0" y="0"/>
                      <a:ext cx="5760000" cy="2270283"/>
                    </a:xfrm>
                    <a:prstGeom prst="rect"/>
                  </pic:spPr>
                </pic:pic>
              </a:graphicData>
            </a:graphic>
          </wp:inline>
        </w:drawing>
      </w:r>
    </w:p>
    <w:p>
      <w:pPr>
        <w:jc w:val="center"/>
      </w:pPr>
      <w:r>
        <w:rPr>
          <w:b/>
          <w:sz w:val="19"/>
        </w:rPr>
        <w:t xml:space="preserve">Figure 7.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one committed route pair as the forecast field is dilated, with the pedestrian cutoff and the radius at which the forecast-aware route first crosses it. ⚠ Scope: that pair is a real pipeline output but its origin differs from the committed </w:t>
      </w:r>
      <w:r>
        <w:rPr>
          <w:rFonts w:ascii="Consolas" w:hAnsi="Consolas"/>
          <w:sz w:val="19"/>
        </w:rPr>
        <w:t>routing_demo.json</w:t>
      </w:r>
      <w:r>
        <w:rPr>
          <w:sz w:val="19"/>
        </w:rPr>
        <w:t xml:space="preserve"> headline case, so both artifacts state their result as robustness of the routing </w:t>
      </w:r>
      <w:r>
        <w:rPr>
          <w:i/>
          <w:sz w:val="19"/>
        </w:rPr>
        <w:t>method</w:t>
      </w:r>
      <w:r>
        <w:rPr>
          <w:sz w:val="19"/>
        </w:rPr>
        <w:t xml:space="preserve"> and not a restatement of the headline.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the share of origins whose fire-blind route fails rises from 0.0961 at 600 minutes to 0.5655 at 30 minutes, a ratio of 5.89; at 120 minutes it is 0.2227 and at 60 minutes 0.4017. A short-budget failure share is meaningless without its budget attached. The forecast-aware class stays empty here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w:t>
      </w:r>
    </w:p>
    <w:p>
      <w:r>
        <w:rPr>
          <w:b/>
        </w:rPr>
        <w:t>Terrain changes how people walk, not whether they arrive.</w:t>
      </w:r>
      <w:r>
        <w:t xml:space="preserve"> Applying real slope to edge times raises whole-network traversal time by 26.6 % at Yeongdeok at 60 m sampling (15.14 % and 23.67 % in the two other regions), with a mean absolute gradient of 0.0818 and a mean directional asymmetry of 0.1996 of flat time — which is why the walking graph is directed. Yet the classification barely moves: 42 origins are safe only on the forecast-aware route at 30 m and 60 m sampling and 41 at 90 m, against 41 in the flat control, and the number whose bucket differs from the flat control at all three intervals is </w:t>
      </w:r>
      <w:r>
        <w:rPr>
          <w:b/>
        </w:rPr>
        <w:t>zero</w:t>
      </w:r>
      <w:r>
        <w:t xml:space="preserve"> — three move at some interval, none at all three — while 179 forecast-aware routes, 39.1 %, differ from the flat control at 60 m. Switching the objective from distance to time under slope timing changes 150 of 458 routes and cuts the longest walk from 444.0 to 352.8 minutes, saving 91.3 minutes for one worst-case origin; the flat control changes 0 routes, as it must.</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w:t>
      </w:r>
    </w:p>
    <w:p>
      <w:r>
        <w:rPr>
          <w:b/>
        </w:rPr>
        <w:t>The road network itself is a source of uncertainty.</w:t>
      </w:r>
      <w:r>
        <w:t xml:space="preserve"> Re-acquiring the OpenStreetMap network eleven months later changed the walk-graph node count by 0.0474 % and moved the count of origins with no surviving vehicle ingress by 33.3 % (24 to 32), while the paired exposure-reduction contrast moved by 0.5614 percentage points. Neither network is the right one; the reported quantity is sensitivity, and it says binary verdicts are network-fragile where paired contrasts are not.</w:t>
      </w:r>
    </w:p>
    <w:p>
      <w:pPr>
        <w:pStyle w:val="Heading2"/>
      </w:pPr>
      <w:r>
        <w:t>4.6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synthetic hazard field (Section 3.4) on the responder side only, not an absolute safety guarantee. 57 of the 143 shortest-path routes cross the hazard, which is what the survival-aware policy avoids.</w:t>
      </w:r>
    </w:p>
    <w:p>
      <w:r>
        <w:t>The dispatch ordering is negative, and reported as such. It carries a different lineage, stated in the caption of Fig. 7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96797"/>
            <wp:docPr id="8" name="Picture 8"/>
            <wp:cNvGraphicFramePr>
              <a:graphicFrameLocks noChangeAspect="1"/>
            </wp:cNvGraphicFramePr>
            <a:graphic>
              <a:graphicData uri="http://schemas.openxmlformats.org/drawingml/2006/picture">
                <pic:pic>
                  <pic:nvPicPr>
                    <pic:cNvPr id="0" name="F7_dispatch_ordering.png"/>
                    <pic:cNvPicPr/>
                  </pic:nvPicPr>
                  <pic:blipFill>
                    <a:blip r:embed="rId16"/>
                    <a:stretch>
                      <a:fillRect/>
                    </a:stretch>
                  </pic:blipFill>
                  <pic:spPr>
                    <a:xfrm>
                      <a:off x="0" y="0"/>
                      <a:ext cx="5760000" cy="2296797"/>
                    </a:xfrm>
                    <a:prstGeom prst="rect"/>
                  </pic:spPr>
                </pic:pic>
              </a:graphicData>
            </a:graphic>
          </wp:inline>
        </w:drawing>
      </w:r>
    </w:p>
    <w:p>
      <w:pPr>
        <w:jc w:val="center"/>
      </w:pPr>
      <w:r>
        <w:rPr>
          <w:b/>
          <w:sz w:val="19"/>
        </w:rPr>
        <w:t xml:space="preserve">Figure 8.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 xml:space="preserve">Across 360 headline configuration cells — four arms by two windows by three service times by three dispatch delays by five team counts — the shipped deadline-first ordering rescues more than nearest-first in 3.6 % of cells, ties in 36.7 % and loses in 59.7 %. All 13 wins occur at the exploratory 240-minute window; at the committed 75-minute window it wins </w:t>
      </w:r>
      <w:r>
        <w:rPr>
          <w:b/>
        </w:rPr>
        <w:t>0 of 180</w:t>
      </w:r>
      <w:r>
        <w:t xml:space="preserve"> cells, with 88 ties and 92 losses. 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w:t>
      </w:r>
    </w:p>
    <w:p>
      <w:r>
        <w:t>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w:t>
      </w:r>
    </w:p>
    <w:p>
      <w:r>
        <w:t xml:space="preserve">Widening the window axis does not rescue it. Over 2,160 cells on a twelve-point axis from 60 to 600 minutes, deadline-first loses in 68.7 % of cells, ties in 26.0 % and wins in 5.3 %; it beats unsorted order in only 31.5 % of cells and the random mean in 37.8 %. It first wins at a 120-minute window, and even at the longest window on the axis it wins only 12.2 % of cells against 75.6 % losses, so no window threshold separates the regions; nor does the number of distinct deadlines, where 1,580 cells fail to win despite having at least as many as the lowest-scoring winning cell. No operating region recommends the shipped ordering, and the paper does not construct one. What the analysis does establish positively is reproducibility: re-deriving 3,744 values from the earlier run cell by cell produced </w:t>
      </w:r>
      <w:r>
        <w:rPr>
          <w:b/>
        </w:rPr>
        <w:t>0</w:t>
      </w:r>
      <w:r>
        <w:t xml:space="preserve"> differences.</w:t>
      </w:r>
    </w:p>
    <w:p>
      <w:pPr>
        <w:pStyle w:val="Heading2"/>
      </w:pPr>
      <w:r>
        <w:t>4.7 How early could a satellite have seen these fires?</w:t>
      </w:r>
    </w:p>
    <w:p>
      <w:r>
        <w:t>The system's premise is that detection was not the binding failure. That premise is partly testable here, once what the test can and cannot support is separated.</w:t>
      </w:r>
    </w:p>
    <w:p>
      <w:r>
        <w:t xml:space="preserve">Four of the six fires fall inside the GK2A archive and three produced a detection under the rule of Section 3.1 (Table 3). In each, the first satellite-detectable anomaly follows the fire's recorded occurrence time by 22 to 64 minutes. </w:t>
      </w:r>
      <w:r>
        <w:rPr>
          <w:b/>
        </w:rPr>
        <w:t>That reference clock is the weakest part of the measurement and we do not lean on it</w:t>
      </w:r>
      <w:r>
        <w:t>, for the reasons given in the caption and in Section 5.</w:t>
      </w:r>
    </w:p>
    <w:p>
      <w:r>
        <w:t xml:space="preserve">Table 3. 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nowhere says what the field is;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p>
      <w:r>
        <w:rPr>
          <w:b/>
        </w:rPr>
        <w:t xml:space="preserve">Table 3. </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[19]</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rather than an operating characteristic. What survives is narrow: a 2 km geostationary pixel does not see a fire until it is already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will the fire be"; a household needs "is my route still passable when I get there", and the two differ because a slow walker's arrival time is a variable in the answer. Section 4.3 is the measurable form of that difference, and one field answers the responder's mirror-image question too. It is not a claim that the system knows where the fire will be: the router needs ranking quality, not per-cell precision, because it cuts a cumulative, survival-accumulated surface at its own threshold. That the surface itself goes unchecked is the first limitation in Section 6.</w:t>
      </w:r>
    </w:p>
    <w:p>
      <w:r>
        <w:rPr>
          <w:b/>
        </w:rPr>
        <w:t>Why n = 6 forbids a threshold guarantee.</w:t>
      </w:r>
      <w:r>
        <w:t xml:space="preserve"> The intuition that a distribution-free method rescues a small-sample setting is wrong in a quantifiable way, and Section 4.2 quantifies it. Small-N event datasets do not get guarantees by changing the calibration method; they get them by having more events.</w:t>
      </w:r>
    </w:p>
    <w:p>
      <w:r>
        <w:rPr>
          <w:b/>
        </w:rPr>
        <w:t>Why the negative dispatch result is worth keeping.</w:t>
      </w:r>
      <w:r>
        <w:t xml:space="preserve"> Its mechanism — a near-degenerate sort key in this window regime — is itself a finding about dispatch.</w:t>
      </w:r>
    </w:p>
    <w:p>
      <w:r>
        <w:rPr>
          <w:b/>
        </w:rPr>
        <w:t>Where the trigger comes from, and where the warning goes.</w:t>
      </w:r>
      <w:r>
        <w:t xml:space="preserve"> Section 4.7 establishes a floor: a 2 km geostationary pixel cannot see a fire below roughly a hectare, so a satellite trigger cannot be an ignition-scale alarm whatever its cadence, and the system treats it as corroboration. A floor of that kind rules a source out of the primary slot; it puts nothing into it. The project's design notes had drawn two further readings from it and both are </w:t>
      </w:r>
      <w:r>
        <w:rPr>
          <w:b/>
        </w:rPr>
        <w:t>withdrawn</w:t>
      </w:r>
      <w:r>
        <w:t>, with no number moving. The first was that the satellite arrives after the emergency call, which no artifact here records the time of. The second was that human report is therefore the primary channel — a channel this repository has never measured, holding no record of a report time at all. What the floor licenses is the narrow statement and not its converse, and the system is built to the narrow one. The survey evidence at the other end is firmer, and is the measured reason the outputs are a sheet a village head can read aloud and a household-ordered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w:t>
      </w:r>
    </w:p>
    <w:p>
      <w:r>
        <w:rPr>
          <w:i/>
          <w:color w:val="B42318"/>
        </w:rPr>
        <w:t>[GAP: structured expert consultations with a fire-service duty officer, a village head and a social worker are planned in the project's consultation format; they are design feedback, not collected data, and require the author's consent handling before any quotation appears here]</w:t>
      </w:r>
    </w:p>
    <w:p>
      <w:pPr>
        <w:pStyle w:val="Heading1"/>
      </w:pPr>
      <w:r>
        <w:t>6. Limitations</w:t>
      </w:r>
    </w:p>
    <w:p>
      <w:r>
        <w:rPr>
          <w:b/>
        </w:rPr>
        <w:t>The routing result is graded against the predicted field, not against observed burn.</w:t>
      </w:r>
      <w:r>
        <w:t xml:space="preserve"> This is the objection we would raise first against this paper. An origin counted in the 42 is one whose fire-blind route crosses a cell the </w:t>
      </w:r>
      <w:r>
        <w:rPr>
          <w:i/>
        </w:rPr>
        <w:t>model</w:t>
      </w:r>
      <w:r>
        <w:t xml:space="preserve"> flagged and whose forecast-aware route does not: a statement about two policies read on one surface, not that the fire went where the surface said. At Section 4.2's operating point the same evidence is consistent with detours around cells that never burned, and with burned cells the model never flagged left unavoided under both policies. Every control here perturbs the predicted field, so none admits external truth. </w:t>
      </w:r>
      <w:r>
        <w:rPr>
          <w:i/>
          <w:color w:val="B42318"/>
        </w:rPr>
        <w:t>[GAP: settling this needs a third routing pass over the same 458 origins on a hindsight field rasterised from the observed FIRMS detections, reporting how many of the 42 fire-blind routes intersect observed burn inside the walker's arrival window. Those detections live under a git-ignored raw bundle, so the arm needs the author's laptop — and the two committed manifests for this fire disagree, recording 2,290 and 2,219 detections on boxes whose ignition points sit about 30 km apart, one flagged as reconstructed. Which is authoritative has to be settled first]</w:t>
      </w:r>
    </w:p>
    <w:p>
      <w:r>
        <w:rPr>
          <w:b/>
        </w:rPr>
        <w:t>Six fires, and not six independent ones.</w:t>
      </w:r>
      <w:r>
        <w:t xml:space="preserve"> Because Uiseong-Andong 2025 and Yeongdeok 2025 belong to one chain (Section 3.1), the Yeongdeok fold's training data may contain cells of the same fire complex as the fire it is scored on, and a leak-free refit has not been run. </w:t>
      </w:r>
      <w:r>
        <w:rPr>
          <w:i/>
          <w:color w:val="B42318"/>
        </w:rPr>
        <w:t>[GAP: refitting that fold with the co-located fire excluded, re-simulating its field and routing the same 458 origins on the original, leak-free and hindsight fields needs the raw acquisition bundle, which the repository does not distribute; this is the experiment most likely to move the 42-origin result and it is planned before submission]</w:t>
      </w:r>
    </w:p>
    <w:p>
      <w:r>
        <w:rPr>
          <w:b/>
        </w:rPr>
        <w:t>Coverage</w:t>
      </w:r>
      <w:r>
        <w:t>: every absolute Yeongdeok rate rests on a walk network holding 32.6 % of that fire's predicted core (Section 4.3).</w:t>
      </w:r>
    </w:p>
    <w:p>
      <w:r>
        <w:rPr>
          <w:b/>
        </w:rPr>
        <w:t>Origins are not households.</w:t>
      </w:r>
      <w:r>
        <w:t xml:space="preserve"> They are walk-graph nodes at a fixed stride, so their distribution reflects road-network structure.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 named "forecast-aware route exceeds budget" names a cause its code condition does not establish; it is empty at Yeongdeok, and elsewhere the search did not complete within the scan's constraints. None was fixed; all divide out of the paired contrasts.</w:t>
      </w:r>
    </w:p>
    <w:p>
      <w:r>
        <w:rPr>
          <w:b/>
        </w:rPr>
        <w:t>Assumptions the results ride on.</w:t>
      </w:r>
      <w:r>
        <w:t xml:space="preserve"> A fixed 0.7 m/s gait speed with no individual variation and no pre-movement delay; an immobile fraction of 0.3; a pedestrian cutoff of 0.5 and a vehicle cutoff of 0.7; dispatch operational windows, service times and team counts that are proof-of-concept parameters, not measured capacity — the committed 75-minute window is an assumed constant and nothing here grounds it; and refuge semantics from OpenStreetMap tags, which in rural Korea return parks and pavilions unless corrected for local village-hall tagging.</w:t>
      </w:r>
    </w:p>
    <w:p>
      <w:r>
        <w:rPr>
          <w:b/>
        </w:rPr>
        <w:t>The detection measurement rests on three fires and an unsourced clock.</w:t>
      </w:r>
      <w:r>
        <w:t xml:space="preserve"> No night-time detection appears in the sample, so night performance is unmeasured. Only the size floor stands on its own. </w:t>
      </w:r>
      <w:r>
        <w:rPr>
          <w:i/>
          <w:color w:val="B42318"/>
        </w:rPr>
        <w:t>[GAP: the reference times come from a manifest field marked provenance only, with no record of how the minute was arrived at. No entry names a report time, and none says what the field is: the one note that calls a date "the ignition" neither names the field nor separates that fire's ignition from the parent chain's. So the delays can be read against neither the true ignition nor the emergency call, and the sign of the error is unknown in both directions. One record of the 신고접수시각 for one of these fires would settle it and would let the paper state whether a satellite trigger precedes the call]</w:t>
      </w:r>
    </w:p>
    <w:p>
      <w:r>
        <w:rPr>
          <w:b/>
        </w:rPr>
        <w:t>Operational status.</w:t>
      </w:r>
      <w:r>
        <w:t xml:space="preserve"> No trigger has ever fired on a live detection and the messaging layer is a dry run: the SMS path is simulated, private cell-broadcast origination is not lawful in Korea, and the approval-gated email channel has never completed a verification send. Nothing here reached a real resident or a real crew.</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household-level decisions measurably, as a paired contrast — 42 of 458 scanned origins on the canonical Yeongdeok field reach a refuge only under the forecast-aware policy, on a network covering 32.6 % of that fire's predicted core.</w:t>
      </w:r>
    </w:p>
    <w:p>
      <w:r>
        <w:t>The rest of the contribution is the instrument, and the instrument is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own design notes had drawn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Every measured number in this paper is registered in </w:t>
      </w:r>
      <w:r>
        <w:rPr>
          <w:rFonts w:ascii="Consolas" w:hAnsi="Consolas"/>
          <w:sz w:val="19"/>
        </w:rPr>
        <w:t>docs/NUMBERS.json</w:t>
      </w:r>
      <w:r>
        <w:t xml:space="preserve"> with its source artifact, derivation and caveat, and re-derived from that artifact by </w:t>
      </w:r>
      <w:r>
        <w:rPr>
          <w:rFonts w:ascii="Consolas" w:hAnsi="Consolas"/>
          <w:sz w:val="19"/>
        </w:rPr>
        <w:t>make verify</w:t>
      </w:r>
      <w:r>
        <w:t xml:space="preserve">; externally sourced figures are attributed in place with agency, date and scope. Figures are regenerated deterministically from committed artifacts by </w:t>
      </w:r>
      <w:r>
        <w:rPr>
          <w:rFonts w:ascii="Consolas" w:hAnsi="Consolas"/>
          <w:sz w:val="19"/>
        </w:rPr>
        <w:t>paper/make_figures.py</w:t>
      </w:r>
      <w:r>
        <w:t xml:space="preserve">; no figure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대구MBC "경북 산불 사망자 26명…영덕 9명." 대구MBC, 30 March 2025, 2025. https://dgmbc.com/article/bLdh4s3M4pgcSdYI0MZPc</w:t>
      </w:r>
    </w:p>
    <w:p>
      <w:pPr>
        <w:ind w:left="454" w:hanging="454"/>
      </w:pPr>
      <w:r>
        <w:rPr>
          <w:sz w:val="19"/>
        </w:rPr>
        <w:t>[3]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[4]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[5] 김현수 and 이종섭 "경북 산불 실제 피해 약 10만ha, 산림청 추정치 '2배' 훌쩍…"초기 추산 엉터리" 비판도." 경향신문 (The Kyunghyang Shinmun), 17 April 2025, 2025. https://www.khan.co.kr/article/202504171020011</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[8]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[9] Finney, Mark A. "Fire growth using minimum travel time methods." Canadian Journal of Forest Research, 2002. https://doi.org/10.1139/x02-068</w:t>
      </w:r>
    </w:p>
    <w:p>
      <w:pPr>
        <w:ind w:left="454" w:hanging="454"/>
      </w:pPr>
      <w:r>
        <w:rPr>
          <w:sz w:val="19"/>
        </w:rPr>
        <w:t>[10] Cova, Thomas J. and Johnson, Justin P. "A network flow model for lane-based evacuation routing." Transportation Research Part A: Policy and Practice, 2003. https://doi.org/10.1016/S0965-8564(03)00007-7</w:t>
      </w:r>
    </w:p>
    <w:p>
      <w:pPr>
        <w:ind w:left="454" w:hanging="454"/>
      </w:pPr>
      <w:r>
        <w:rPr>
          <w:sz w:val="19"/>
        </w:rPr>
        <w:t>[11]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[12]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[13]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[14] Li, Dapeng and Cova, Thomas J. and Dennison, Philip E. "Using reverse geocoding to identify prominent wildfire evacuation trigger points." Applied Geography, 2017. https://doi.org/10.1016/j.apgeog.2017.05.008</w:t>
      </w:r>
    </w:p>
    <w:p>
      <w:pPr>
        <w:ind w:left="454" w:hanging="454"/>
      </w:pPr>
      <w:r>
        <w:rPr>
          <w:sz w:val="19"/>
        </w:rPr>
        <w:t>[15]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[16]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[17]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[18]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[19] Dozier, Jeff "A method for satellite identification of surface temperature fields of subpixel resolution." Remote Sensing of Environment, 1981. https://doi.org/10.1016/0034-4257(81)90021-3</w:t>
      </w:r>
    </w:p>
    <w:p>
      <w:pPr>
        <w:ind w:left="454" w:hanging="454"/>
      </w:pPr>
      <w:r>
        <w:rPr>
          <w:sz w:val="19"/>
        </w:rPr>
        <w:t>[20]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[21] Studenski, Stephanie and Perera, Subashan and Patel, Kushang and others "Gait speed and survival in older adults." JAMA, 2011. https://pubmed.ncbi.nlm.nih.gov/21205966/</w:t>
      </w:r>
    </w:p>
    <w:p>
      <w:pPr>
        <w:ind w:left="454" w:hanging="454"/>
      </w:pPr>
      <w:r>
        <w:rPr>
          <w:sz w:val="19"/>
        </w:rPr>
        <w:t>[22] NASA "Fire Information for Resource Management System (FIRMS)." 2026. https://firms.modaps.eosdis.nasa.gov/</w:t>
      </w:r>
    </w:p>
    <w:p>
      <w:pPr>
        <w:ind w:left="454" w:hanging="454"/>
      </w:pPr>
      <w:r>
        <w:rPr>
          <w:sz w:val="19"/>
        </w:rPr>
        <w:t>[23] Hersbach, Hans and others "ERA5 hourly data on single levels from 1940 to present." Copernicus Climate Change Service (C3S) Climate Data Store, 2023. https://cds.climate.copernicus.eu/datasets/reanalysis-era5-single-levels</w:t>
      </w:r>
    </w:p>
    <w:p>
      <w:pPr>
        <w:ind w:left="454" w:hanging="454"/>
      </w:pPr>
      <w:r>
        <w:rPr>
          <w:sz w:val="19"/>
        </w:rPr>
        <w:t>[24] Farr, Tom G. and Rosen, Paul A. and Caro, Edward and others "The Shuttle Radar Topography Mission." Reviews of Geophysics, 2007. https://doi.org/10.1029/2005RG000183</w:t>
      </w:r>
    </w:p>
    <w:p>
      <w:pPr>
        <w:ind w:left="454" w:hanging="454"/>
      </w:pPr>
      <w:r>
        <w:rPr>
          <w:sz w:val="19"/>
        </w:rPr>
        <w:t>[25] ESA WorldCover consortium "ESA WorldCover: global land cover at 10 m from Sentinel-1 and Sentinel-2." 2021. https://esa-worldcover.org/en</w:t>
      </w:r>
    </w:p>
    <w:p>
      <w:pPr>
        <w:ind w:left="454" w:hanging="454"/>
      </w:pPr>
      <w:r>
        <w:rPr>
          <w:sz w:val="19"/>
        </w:rPr>
        <w:t>[26] Boeing, Geoff "OSMnx: new methods for acquiring, constructing, analyzing, and visualizing complex street networks." Computers, Environment and Urban Systems, 2017. https://doi.org/10.1016/j.compenvurbsys.2017.05.004</w:t>
      </w:r>
    </w:p>
    <w:p>
      <w:pPr>
        <w:ind w:left="454" w:hanging="454"/>
      </w:pPr>
      <w:r>
        <w:rPr>
          <w:sz w:val="19"/>
        </w:rPr>
        <w:t>[27]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