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2026-09-04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in Korea during the March 2025 Gyeongbuk wildfires, the largest on the country's record by burned area. Neither produced the last-kilometre answer a rural household needs: which way to walk now, and whether a rescue crew can still reach the house. WildfireGuardian couples an event-held-out ignition-probability model to a time-expanded pedestrian router and a rescue-ingress calculation, and reports every published number through a registry that re-derives it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on a network covering 32.6 % of the predicted fire core whose bias runs in an unmeasured direction.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We argue that on a six-event dataset the transferable contribution is the evaluation design — paired contrasts, matched null controls, and a registry that keeps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from 2,246 households, at an assessed 1.05 trillion won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The nationwide 104,788 hectares over 347 fires is not a March figure but the Korea Forest Service's total for the spring fire-watch season, 24 January to 15 May. The rapid attribution study of 30 April 2025 places all 26 deaths in Uiseong with four more in Sancheong, on "more than 48,000 hectares" over a "southeastern Korea" extent </w:t>
      </w:r>
      <w:r>
        <w:t>[4]</w:t>
      </w:r>
      <w:r>
        <w:t xml:space="preserve">. This paper states the chain's share of any nationwide total nowhere. The two are compiled on different bases over different periods, and the estimate published while the fire still burned does not close the gap: the Korea Forest Service has said that a fire-affected area, read off the fire line for suppression planning, and a surveyed damage area are different concepts that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Its first anomaly comes 22 to 64 minutes after the recorded occurrence time, at a size floor of 0.1 to 1 hectare — too coarse for an ignition, on a clock whose relation to the emergency call this repository cannot establish. The gap was not that nobody knew; it was between knowing and acting. A district-level probability does not tell one household on one lane which direction is still walkable at 09:40, nor a fire crew which of the houses that cannot self-evacuate they can still drive to, or for how much longer. That gap is sharpest exactly where the deaths occurred — in dispersed rural settlement, among residents who walk slowly, on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and this paper is as much about the evaluation design under which it was built. It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asking when each approach corridor closes to a vehicle. Its outputs are operator documents.</w:t>
      </w:r>
    </w:p>
    <w:p>
      <w:r>
        <w:t>We make three claims. The coupling changes decisions, measurably, as a paired contrast: both arms of Section 4.3 run over the same origins, network and field, so the contrast is not contaminated by the routing layer's known approximations or by the coverage limit. The operating point is weak, and owning that is part of the result, because a high ranking score and a low detection rate are both true at this prevalence. And the evaluation design is the transferable part: what six fires permit, and a large dataset makes easy to skip, is the discipline of matched controls of Section 3.5. The non-claim is the dispatch ordering: against nearest-first it wins 0 of 180 configuration cells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w:t>
      </w:r>
    </w:p>
    <w:p>
      <w:r>
        <w:rPr>
          <w:b/>
        </w:rPr>
        <w:t>Detection.</w:t>
      </w:r>
      <w:r>
        <w:t xml:space="preserve"> Geostationary imagers trade resolution for cadence: GK2A's Advanced Meteorological Imager returns the Korean local area every two minutes at 2 km in the infrared </w:t>
      </w:r>
      <w:r>
        <w:t>[18]</w:t>
      </w:r>
      <w:r>
        <w:t xml:space="preserve">. Section 4.7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 the finite-sample term consumes most of the error budget, and that negative result is the contribution.</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first supplies most of the selectivity; the floor stops a quiet background from flagging a hundredth of a kelvin above its median.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that single object.</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four limitations of this router,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spans -0.0363 to +0.0425.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This manuscript is scanned by that gate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t>Table 1. 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p>
      <w:r>
        <w:rPr>
          <w:b/>
        </w:rPr>
        <w:t xml:space="preserve">Table 1. </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not comparable to published average-precision figures on other benchmarks, whose label definitions, geometry and prevalence all differ.</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35842"/>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35842"/>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Two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here carries that caveat; paired contrasts are unaffected, both arms using the same origins. </w:t>
      </w:r>
      <w:r>
        <w:rPr>
          <w:b/>
        </w:rPr>
        <w:t>Second, the field itself was reconstructed.</w:t>
      </w:r>
      <w:r>
        <w:t xml:space="preserve"> An earlier lineage of these counts came from the surviving output of a run reverted the next day; the "quasi-static fire core" limitation recorded against those numbers was a property of that reverted field, not of the fire. On the canonical field the core grows by 316.06 % from the first slice to the last. The lineages differ on more than one axis at once, so the movement between them is not a single-variable contrast and no per-origin ledger exists.</w:t>
      </w:r>
    </w:p>
    <w:p>
      <w:pPr>
        <w:pStyle w:val="Heading2"/>
      </w:pPr>
      <w:r>
        <w:t>4.4 Three regions under one rule</w:t>
      </w:r>
    </w:p>
    <w:p>
      <w:r>
        <w:t>The same rule, parameters and stride ran over two further regions acquired identically (Fig. 5,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t>Table 2. 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p>
      <w:r>
        <w:rPr>
          <w:b/>
        </w:rPr>
        <w:t xml:space="preserve">Table 2. </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the two committed routes as the forecast field is dilated, with the pedestrian cutoff and the radius at which the forecast-aware route first crosses it.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the share of origins whose fire-blind route fails rises from 0.0961 at 600 minutes to 0.5655 at 30 minutes, a ratio of 5.89; at 120 minutes it is 0.2227 and at 60 minutes 0.4017. A short-budget failure share is meaningless without its budget attached, and the 600-minute default was concealing the operational picture. The forecast-aware router never exceeds that budget at Yeongdeok — the class is empty —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absolute gradient of 0.0818 and a mean directional asymmetry of 0.1996 of flat time — which is why the walking graph is directed. Yet the classification barely moves: 42 origins are safe only on the forecast-aware route at 30 m and 60 m sampling and 41 at 90 m, against 41 in the flat control, and the number whose bucket differs from the flat control at all three intervals is </w:t>
      </w:r>
      <w:r>
        <w:rPr>
          <w:b/>
        </w:rPr>
        <w:t>zero</w:t>
      </w:r>
      <w:r>
        <w:t xml:space="preserve"> — three move at some interval, none at all three — while 179 forecast-aware routes, 39.1 %, differ from the flat control at 60 m. Switching the objective from distance to time under slope timing changes 150 of 458 routes and cuts the longest walk from 444.0 to 352.8 minutes, saving 91.3 minutes for one worst-case origin; the flat control changes 0 routes, as it must, so the mechanism is identified rather than inferred.</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 This is a risk reduction with a measured breaking point, not robustness.</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hazard field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7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 xml:space="preserve">Across 360 headline configuration cells — four arms by two windows by three service times by three dispatch delays by five team counts — the shipped deadline-first ordering rescues more than nearest-first in 3.6 % of cells, ties in 36.7 % and loses in 59.7 %. All 13 wins occur at the exploratory 240-minute window; at the committed 75-minute window it wins </w:t>
      </w:r>
      <w:r>
        <w:rPr>
          <w:b/>
        </w:rPr>
        <w:t>0 of 180</w:t>
      </w:r>
      <w:r>
        <w:t xml:space="preserve"> cells, with 88 ties and 92 losses. 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w:t>
      </w:r>
    </w:p>
    <w:p>
      <w:r>
        <w:t>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w:t>
      </w:r>
    </w:p>
    <w:p>
      <w:r>
        <w:t xml:space="preserve">Widening the window axis does not rescue it. Over 2,160 cells on a twelve-point axis from 60 to 600 minutes, deadline-first loses in 68.7 % of cells, ties in 26.0 % and wins in 5.3 %; it beats unsorted order in only 31.5 % of cells and the random mean in 37.8 %. It first wins at a 120-minute window and still fails to win at 600, so no window threshold separates the regions; nor does the number of distinct deadlines, where 1,580 cells fail to win despite having at least as many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The system's premise is that detection was not the binding failure. That premise is partly testable here, once what the test can and cannot support is separated.</w:t>
      </w:r>
    </w:p>
    <w:p>
      <w:r>
        <w:t xml:space="preserve">Four of the six fires fall inside the GK2A archive and three produced a detection under the rule of Section 3.1 (Table 3). In each, the first satellite-detectable anomaly follows the fire's recorded occurrence time by 22 to 64 minutes. </w:t>
      </w:r>
      <w:r>
        <w:rPr>
          <w:b/>
        </w:rPr>
        <w:t>That reference clock is the weakest part of the measurement and we do not lean on it</w:t>
      </w:r>
      <w:r>
        <w:t>, for the reasons in the caption: a repository design note read it as a report time and drew from that a satellite arriving after the telephone. No artifact supports that reading, this paper never made it, and the note has since been withdrawn with no number moving.</w:t>
      </w:r>
    </w:p>
    <w:p>
      <w:r>
        <w:t xml:space="preserve">Table 3. 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p>
      <w:r>
        <w:rPr>
          <w:b/>
        </w:rPr>
        <w:t xml:space="preserve">Table 3. </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rather than an operating characteristic. What survives is narrow: a 2 km geostationary pixel does not see a fire until it is already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one field answers the responder's mirror-image question too. That is why the contribution is a coupling rather than a model.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The intuition that a distribution-free method rescues a small-sample setting is wrong in a quantifiable way, and Section 4.2 quantifies it. Small-N event datasets do not get guarantees by changing the calibration method; they get them by having more events.</w:t>
      </w:r>
    </w:p>
    <w:p>
      <w:r>
        <w:rPr>
          <w:b/>
        </w:rPr>
        <w:t>Why the negative dispatch result is worth keeping.</w:t>
      </w:r>
      <w:r>
        <w:t xml:space="preserve"> Its mechanism — a near-degenerate sort key when the operational window closes before the corridors do — is itself a finding about dispatch in this regime.</w:t>
      </w:r>
    </w:p>
    <w:p>
      <w:r>
        <w:rPr>
          <w:b/>
        </w:rPr>
        <w:t>Where the trigger comes from, and where the warning goes.</w:t>
      </w:r>
      <w:r>
        <w:t xml:space="preserve"> Section 4.7 establishes a floor: a 2 km geostationary pixel cannot see a fire below roughly a hectare, so a satellite trigger cannot be an ignition-scale alarm whatever its cadence, and the system treats it as corroboration. It does </w:t>
      </w:r>
      <w:r>
        <w:rPr>
          <w:i/>
        </w:rPr>
        <w:t>not</w:t>
      </w:r>
      <w:r>
        <w:t xml:space="preserve"> establish that the satellite arrives after the emergency call — the design notes had been reading it that way — because no artifact records when the call was made.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w:t>
      </w:r>
    </w:p>
    <w:p>
      <w:r>
        <w:rPr>
          <w:i/>
          <w:color w:val="B42318"/>
        </w:rPr>
        <w:t>[GAP: structured expert consultations with a fire-service duty officer, a village head and a social worker are planned in the project's consultation format; they are design feedback, not collected data, and require the author's consent handling before any quotation appears here]</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live under a git-ignored raw bundle, so the arm needs the author's laptop — and the two committed manifests for this fire disagree, recording 2,290 and 2,219 detections on boxes whose ignition points sit about 30 km apart, one flagged as reconstructed. Which is authoritative has to be settled first]</w:t>
      </w:r>
    </w:p>
    <w:p>
      <w:r>
        <w:rPr>
          <w:b/>
        </w:rPr>
        <w:t>Six fires, and not six independent ones.</w:t>
      </w:r>
      <w:r>
        <w:t xml:space="preserve"> Uiseong-Andong 2025 and Yeongdeok 2025 belong to the same chain, so the dataset is five independent events plus a co-located pair. The Yeongdeok fold's training data may contain cells of the same fire complex, and a leak-free refit has not been run. </w:t>
      </w:r>
      <w:r>
        <w:rPr>
          <w:i/>
          <w:color w:val="B42318"/>
        </w:rPr>
        <w:t>[GAP: refitting that fold with the co-located fire excluded, re-simulating its field and routing the same 458 origins on the original, leak-free and hindsight fields needs the raw acquisition bundle, which the repository does not distribute; this is the experiment most likely to move the 42-origin result and it is planned before submission]</w:t>
      </w:r>
    </w:p>
    <w:p>
      <w:r>
        <w:rPr>
          <w:b/>
        </w:rPr>
        <w:t>Coverage</w:t>
      </w:r>
      <w:r>
        <w:t>: the walk network contains 32.6 % of Yeongdeok's predicted core, and every absolute rate for that fire depends on it; the bias is established, its direction is not.</w:t>
      </w:r>
    </w:p>
    <w:p>
      <w:r>
        <w:rPr>
          <w:b/>
        </w:rPr>
        <w:t>Origins are not households.</w:t>
      </w:r>
      <w:r>
        <w:t xml:space="preserve"> They are walk-graph nodes at a fixed stride, so their distribution reflects road-network structure.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This is the measured reason the severity-versus-direction claim was withdrawn, and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Assumptions the results ride on.</w:t>
      </w:r>
      <w:r>
        <w:t xml:space="preserve"> A fixed 0.7 m/s gait speed with no individual variation and no pre-movement delay; an immobile fraction of 0.3; a pedestrian cutoff of 0.5 and a vehicle cutoff of 0.7; dispatch service times and team counts that are proof-of-concept parameters, not measured capacity; and refuge semantics from OpenStreetMap tags, which in rural Korea return parks and pavilions unless corrected for local village-hall tagging.</w:t>
      </w:r>
    </w:p>
    <w:p>
      <w:r>
        <w:rPr>
          <w:b/>
        </w:rPr>
        <w:t>The detection measurement rests on three fires and an unsourced clock.</w:t>
      </w:r>
      <w:r>
        <w:t xml:space="preserve"> Two fires predate the GK2A archive and one is set aside as confounded. No night-time detection appears in the sample, so night performance is unmeasured. Only the size floor stands on its own. </w:t>
      </w:r>
      <w:r>
        <w:rPr>
          <w:i/>
          <w:color w:val="B42318"/>
        </w:rPr>
        <w:t>[GAP: the reference times come from a manifest field marked provenance only, with no record of how the minute was arrived at. No entry names a report time, and none says what the field is: the one note that calls a date "the ignition" neither names the field nor separates that fire's ignition from the parent chain's. So the delays cannot be read against either the true ignition or the emergency call and the sign of the error is unknown in both directions. One record of the 신고접수시각 for one of these fires would settle it and would let the paper state whether a satellite trigger precedes the call]</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deterministically from committed artifacts by </w:t>
      </w:r>
      <w:r>
        <w:rPr>
          <w:rFonts w:ascii="Consolas" w:hAnsi="Consolas"/>
          <w:sz w:val="19"/>
        </w:rPr>
        <w:t>paper/make_figures.py</w:t>
      </w:r>
      <w:r>
        <w:t xml:space="preserve">; no figure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