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2026-09-07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driven by a human-entered origin point </w:t>
      </w:r>
      <w:r>
        <w:t>[10]</w:t>
      </w:r>
      <w:r>
        <w:t xml:space="preserve">; Gyeonggi Province's civil-defence alert model predicts a fire's route, arrival times and the township it reaches, in half-hour steps, and was announced for trial operation in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capability figures in circulation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[15]</w:t>
      </w:r>
      <w:r>
        <w:t xml:space="preserve">, refined by reverse geocoding to name the road segments that matter </w:t>
      </w:r>
      <w:r>
        <w:t>[16]</w:t>
      </w:r>
      <w:r>
        <w:t xml:space="preserve">, and later coupled to traffic simulation so it accounts for the time evacuation takes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[20]</w:t>
      </w:r>
      <w:r>
        <w:t xml:space="preserve">. Section 4.8 measures what that buys, using the mid-infrared contrast and the sub-pixel area inversion standard since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twice, and each hand-applied correction left the same claim standing in a file that lap had itself edited or shipped. It matches spellings, not meaning: in an independent probe, sentences reusing a registered spelling were caught and sentences reworded around one were not, and that limit is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the scan does read; it was not, so nothing did. The general point needs no registry: a correction applied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The run supports no statement about whether a workable width could be chosen in advance: the five widths differ by factors of two, so the grid holds a single point in the region such a claim would be about. One repository document still draws the stronger conclusion from those same five points, as do the caveats the registry carries on this arm's own entries; a second was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