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2026-09-05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4.7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[10]</w:t>
      </w:r>
      <w:r>
        <w:t xml:space="preserve">. Recent work brings wildfire information into that formulation directly: Borgwardt et al. pose wildfire evacuation as maximum flow on a time-expanded network with integrated hazard data </w:t>
      </w:r>
      <w:r>
        <w:t>[11]</w:t>
      </w:r>
      <w:r>
        <w:t xml:space="preserve">, and RESCUE routes under stochastic congestion and uncertain spread </w:t>
      </w:r>
      <w:r>
        <w:t>[12]</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[13]</w:t>
      </w:r>
      <w:r>
        <w:t xml:space="preserve">, refined by reverse geocoding to name the road segments that matter </w:t>
      </w:r>
      <w:r>
        <w:t>[14]</w:t>
      </w:r>
      <w:r>
        <w:t xml:space="preserve">, and later coupled to traffic simulation so it accounts for the time evacuation takes </w:t>
      </w:r>
      <w:r>
        <w:t>[15]</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[16]</w:t>
      </w:r>
      <w:r>
        <w:t xml:space="preserve">; the wildland-urban-interface framing follows the standard definition </w:t>
      </w:r>
      <w:r>
        <w:t>[17]</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[18]</w:t>
      </w:r>
      <w:r>
        <w:t xml:space="preserve">. Section 4.7 measures what that buys, using the mid-infrared contrast and the sub-pixel area inversion standard since Dozier </w:t>
      </w:r>
      <w:r>
        <w:t>[19]</w:t>
      </w:r>
      <w:r>
        <w:t>.</w:t>
      </w:r>
    </w:p>
    <w:p>
      <w:r>
        <w:rPr>
          <w:b/>
        </w:rPr>
        <w:t>Calibration and guarantees.</w:t>
      </w:r>
      <w:r>
        <w:t xml:space="preserve"> Conformal risk control offers distribution-free guarantees on a monotone risk by calibrating a threshold </w:t>
      </w:r>
      <w:r>
        <w:t>[20]</w:t>
      </w:r>
      <w:r>
        <w:t>. Section 4.2 reports what happens when it is applied honestly at six fires.</w:t>
      </w:r>
    </w:p>
    <w:p>
      <w:r>
        <w:rPr>
          <w:b/>
        </w:rPr>
        <w:t>Walking speed.</w:t>
      </w:r>
      <w:r>
        <w:t xml:space="preserve"> The elderly gait speeds this system assumes sit in the range for which gait speed is an established predictor of survival in older adults </w:t>
      </w:r>
      <w:r>
        <w:t>[21]</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[22]</w:t>
      </w:r>
      <w:r>
        <w:t xml:space="preserve">, whose detection times define the prediction target; weather from ERA5 reanalysis on single levels </w:t>
      </w:r>
      <w:r>
        <w:t>[23]</w:t>
      </w:r>
      <w:r>
        <w:t xml:space="preserve">; terrain from SRTM </w:t>
      </w:r>
      <w:r>
        <w:t>[24]</w:t>
      </w:r>
      <w:r>
        <w:t xml:space="preserve">; fuel from ESA WorldCover at 10 m </w:t>
      </w:r>
      <w:r>
        <w:t>[25]</w:t>
      </w:r>
      <w:r>
        <w:t xml:space="preserve">; and road networks, building footprints and candidate refuge and depot points of interest from OpenStreetMap, graph-built with OSMnx </w:t>
      </w:r>
      <w:r>
        <w:t>[26, 27]</w:t>
      </w:r>
      <w:r>
        <w:t>. No proprietary or paid source is used.</w:t>
      </w:r>
    </w:p>
    <w:p>
      <w:r>
        <w:t xml:space="preserve">One further public input feeds only the detection-timing measurement of Section 4.7: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4.6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tracked document is read against it, so a withdrawn claim cannot survive in a file nobody thought to list. It matches spellings, not meaning: in an independent probe, sentences reusing a registered spelling were caught and sentences reworded around one were not, and that limit is recorded rather than designed away. This manuscript is scanned by both gates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[20]</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w:t>
      </w:r>
      <w:r>
        <w:rPr>
          <w:i/>
          <w:color w:val="B42318"/>
        </w:rPr>
        <w:t>[GAP: the arm that separates them, a present-perimeter baseline over the same origins, is specified in the project backlog and scheduled after this sprint]</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pPr>
        <w:pStyle w:val="Heading2"/>
      </w:pPr>
      <w:r>
        <w:t>4.5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4.6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4.7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[19]</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do not get guarantees by changing the calibration method, but by having more events.</w:t>
      </w:r>
    </w:p>
    <w:p>
      <w:r>
        <w:rPr>
          <w:b/>
        </w:rPr>
        <w:t>Where the trigger comes from, and where the warning goes.</w:t>
      </w:r>
      <w:r>
        <w:t xml:space="preserve"> Section 4.7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 Another's off-network walking point is a limitation in Section 6.</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a point put to the author in written comments by an external researcher in September 2026.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Cova, Thomas J. and Johnson, Justin P. "A network flow model for lane-based evacuation routing." Transportation Research Part A: Policy and Practice, 2003. https://doi.org/10.1016/S0965-8564(03)00007-7</w:t>
      </w:r>
    </w:p>
    <w:p>
      <w:pPr>
        <w:ind w:left="454" w:hanging="454"/>
      </w:pPr>
      <w:r>
        <w:rPr>
          <w:sz w:val="19"/>
        </w:rPr>
        <w:t>[11]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[12]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[13]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[14] Li, Dapeng and Cova, Thomas J. and Dennison, Philip E. "Using reverse geocoding to identify prominent wildfire evacuation trigger points." Applied Geography, 2017. https://doi.org/10.1016/j.apgeog.2017.05.008</w:t>
      </w:r>
    </w:p>
    <w:p>
      <w:pPr>
        <w:ind w:left="454" w:hanging="454"/>
      </w:pPr>
      <w:r>
        <w:rPr>
          <w:sz w:val="19"/>
        </w:rPr>
        <w:t>[15]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[16]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[17]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[18]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[19] Dozier, Jeff "A method for satellite identification of surface temperature fields of subpixel resolution." Remote Sensing of Environment, 1981. https://doi.org/10.1016/0034-4257(81)90021-3</w:t>
      </w:r>
    </w:p>
    <w:p>
      <w:pPr>
        <w:ind w:left="454" w:hanging="454"/>
      </w:pPr>
      <w:r>
        <w:rPr>
          <w:sz w:val="19"/>
        </w:rPr>
        <w:t>[20]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[21] Studenski, Stephanie and Perera, Subashan and Patel, Kushang and others "Gait speed and survival in older adults." JAMA, 2011. https://pubmed.ncbi.nlm.nih.gov/21205966/</w:t>
      </w:r>
    </w:p>
    <w:p>
      <w:pPr>
        <w:ind w:left="454" w:hanging="454"/>
      </w:pPr>
      <w:r>
        <w:rPr>
          <w:sz w:val="19"/>
        </w:rPr>
        <w:t>[22] NASA "Fire Information for Resource Management System (FIRMS)." 2026. https://firms.modaps.eosdis.nasa.gov/</w:t>
      </w:r>
    </w:p>
    <w:p>
      <w:pPr>
        <w:ind w:left="454" w:hanging="454"/>
      </w:pPr>
      <w:r>
        <w:rPr>
          <w:sz w:val="19"/>
        </w:rPr>
        <w:t>[23] Hersbach, Hans and others "ERA5 hourly data on single levels from 1940 to present." Copernicus Climate Change Service (C3S) Climate Data Store, 2023. https://cds.climate.copernicus.eu/datasets/reanalysis-era5-single-levels</w:t>
      </w:r>
    </w:p>
    <w:p>
      <w:pPr>
        <w:ind w:left="454" w:hanging="454"/>
      </w:pPr>
      <w:r>
        <w:rPr>
          <w:sz w:val="19"/>
        </w:rPr>
        <w:t>[24] Farr, Tom G. and Rosen, Paul A. and Caro, Edward and others "The Shuttle Radar Topography Mission." Reviews of Geophysics, 2007. https://doi.org/10.1029/2005RG000183</w:t>
      </w:r>
    </w:p>
    <w:p>
      <w:pPr>
        <w:ind w:left="454" w:hanging="454"/>
      </w:pPr>
      <w:r>
        <w:rPr>
          <w:sz w:val="19"/>
        </w:rPr>
        <w:t>[25] ESA WorldCover consortium "ESA WorldCover: global land cover at 10 m from Sentinel-1 and Sentinel-2." 2021. https://esa-worldcover.org/en</w:t>
      </w:r>
    </w:p>
    <w:p>
      <w:pPr>
        <w:ind w:left="454" w:hanging="454"/>
      </w:pPr>
      <w:r>
        <w:rPr>
          <w:sz w:val="19"/>
        </w:rPr>
        <w:t>[26] Boeing, Geoff "OSMnx: new methods for acquiring, constructing, analyzing, and visualizing complex street networks." Computers, Environment and Urban Systems, 2017. https://doi.org/10.1016/j.compenvurbsys.2017.05.004</w:t>
      </w:r>
    </w:p>
    <w:p>
      <w:pPr>
        <w:ind w:left="454" w:hanging="454"/>
      </w:pPr>
      <w:r>
        <w:rPr>
          <w:sz w:val="19"/>
        </w:rPr>
        <w:t>[27]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