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2026-09-04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in Korea during the March 2025 Gyeongbuk wildfires, the largest on the country's record by burned area. Neither produced the last-kilometre answer a rural household needs: which way to walk now, and whether a rescue crew can still reach the house. WildfireGuardian couples an event-held-out ignition-probability model to a time-expanded pedestrian router and a rescue-ingress calculation, and reports every published number through a registry that re-derives it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on a network covering 32.6 % of the predicted fire core whose bias runs in an unmeasured direction.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We argue that on a six-event dataset the transferable contribution is the evaluation design — paired contrasts, matched null controls, and a registry that keeps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from 2,246 households, at an assessed 1.05 trillion won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of 30 March 2025; Yeongdeok-gun's notice of 29 April puts 10 of them in Yeongdeok where that count had 9, and this paper keeps both rather than asserting one </w:t>
      </w:r>
      <w:r>
        <w:t>[2]</w:t>
      </w:r>
      <w:r>
        <w:t xml:space="preserve">. The nationwide 104,788 hectares over 347 fires is not a March figure but the Korea Forest Service's total for the spring fire-watch season, 24 January to 15 May. The rapid attribution study of 30 April 2025 places all 26 deaths in Uiseong with four more in Sancheong, on "more than 48,000 hectares" over a "southeastern Korea" extent </w:t>
      </w:r>
      <w:r>
        <w:t>[3]</w:t>
      </w:r>
      <w:r>
        <w:t>. This paper states the chain's share of any nationwide total nowhere, because the two totals are compiled on different bases over different periods and the repository's own two readings of that comparison disagree.</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[2]</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Its first anomaly comes 22 to 64 minutes after the recorded occurrence time, at a size floor of 0.1 to 1 hectare — too coarse for an ignition, on a clock whose relation to the emergency call this repository cannot establish. The gap was not that nobody knew; it was between knowing and acting. A district-level probability does not tell one household on one lane which direction is still walkable at 09:40, nor a fire crew which of the houses that cannot self-evacuate they can still drive to, or for how much longer. That gap is sharpest exactly where the deaths occurred — in dispersed rural settlement, among residents who walk slowly, on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and this paper is as much about the evaluation design under which it was built. It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asking when each approach corridor closes to a vehicle. Its outputs are operator documents.</w:t>
      </w:r>
    </w:p>
    <w:p>
      <w:r>
        <w:t xml:space="preserve">We make three claims. The coupling changes decisions, measurably, as a paired contrast: both arms of Section 4.3 run over the same origins, network and field, so the contrast is not contaminated by the routing layer's known approximations or by the coverage limit. The operating point is weak, and owning that is part of the result, because a high ranking score and a low detection rate are both true at this prevalence. And the evaluation design is the transferable part — six fires cannot compete with datasets of hundreds </w:t>
      </w:r>
      <w:r>
        <w:t>[4, 5, 6]</w:t>
      </w:r>
      <w:r>
        <w:t xml:space="preserve"> and we do not try, but what six fires permit, and a large dataset makes easy to skip, is the discipline of matched controls of Section 3.5. The non-claim is the dispatch ordering: against nearest-first it wins 0 of 180 configuration cells at the operating window, and we report it with its mechanism.</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[4]</w:t>
      </w:r>
      <w:r>
        <w:t xml:space="preserve">, and the WSTS+ extension, which doubles the unique years of history and reports that time-series inputs beat single-day inputs </w:t>
      </w:r>
      <w:r>
        <w:t>[5]</w:t>
      </w:r>
      <w:r>
        <w:t xml:space="preserve">. Six Korean fires cannot compete on that axis, and the metrics are not comparable across these settings anyway: label definition, geometry and above all prevalence differ, and prevalence moves average precision by construction. That line of work matters here instead as part of a turn toward asking whether a spread model works rather than whether it scores well. Physical modelling supplies the alternative framing: minimum-travel-time fire growth </w:t>
      </w:r>
      <w:r>
        <w:t>[7]</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[8]</w:t>
      </w:r>
      <w:r>
        <w:t xml:space="preserve">. Recent work brings wildfire information into that formulation directly: Borgwardt et al. pose wildfire evacuation as maximum flow on a time-expanded network with integrated hazard data </w:t>
      </w:r>
      <w:r>
        <w:t>[9]</w:t>
      </w:r>
      <w:r>
        <w:t xml:space="preserve">, and RESCUE routes under stochastic congestion and uncertain spread </w:t>
      </w:r>
      <w:r>
        <w:t>[10]</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[11]</w:t>
      </w:r>
      <w:r>
        <w:t xml:space="preserve">, refined by reverse geocoding to name the road segments that matter </w:t>
      </w:r>
      <w:r>
        <w:t>[12]</w:t>
      </w:r>
      <w:r>
        <w:t xml:space="preserve">, and later coupled to traffic simulation so it accounts for the time evacuation takes </w:t>
      </w:r>
      <w:r>
        <w:t>[13]</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[14]</w:t>
      </w:r>
      <w:r>
        <w:t xml:space="preserve">; the wildland-urban-interface framing follows the standard definition </w:t>
      </w:r>
      <w:r>
        <w:t>[15]</w:t>
      </w:r>
      <w:r>
        <w:t>.</w:t>
      </w:r>
    </w:p>
    <w:p>
      <w:r>
        <w:rPr>
          <w:b/>
        </w:rPr>
        <w:t>Detection.</w:t>
      </w:r>
      <w:r>
        <w:t xml:space="preserve"> Geostationary imagers trade resolution for cadence: GK2A's Advanced Meteorological Imager returns the Korean local area every two minutes at 2 km in the infrared </w:t>
      </w:r>
      <w:r>
        <w:t>[16]</w:t>
      </w:r>
      <w:r>
        <w:t xml:space="preserve">. Section 4.7 measures what that buys, using the mid-infrared contrast and the sub-pixel area inversion standard since Dozier </w:t>
      </w:r>
      <w:r>
        <w:t>[17]</w:t>
      </w:r>
      <w:r>
        <w:t>.</w:t>
      </w:r>
    </w:p>
    <w:p>
      <w:r>
        <w:rPr>
          <w:b/>
        </w:rPr>
        <w:t>Calibration and guarantees.</w:t>
      </w:r>
      <w:r>
        <w:t xml:space="preserve"> Conformal risk control offers distribution-free guarantees on a monotone risk by calibrating a threshold </w:t>
      </w:r>
      <w:r>
        <w:t>[18]</w:t>
      </w:r>
      <w:r>
        <w:t>. Section 4.2 reports what happens when it is applied honestly at six fires: the finite-sample term consumes most of the error budget, and that negative result is the contribution.</w:t>
      </w:r>
    </w:p>
    <w:p>
      <w:r>
        <w:rPr>
          <w:b/>
        </w:rPr>
        <w:t>Walking speed.</w:t>
      </w:r>
      <w:r>
        <w:t xml:space="preserve"> The elderly gait speeds this system assumes sit in the range for which gait speed is an established predictor of survival in older adults </w:t>
      </w:r>
      <w:r>
        <w:t>[19]</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[20]</w:t>
      </w:r>
      <w:r>
        <w:t xml:space="preserve">, whose detection times define the prediction target; weather from ERA5 reanalysis on single levels </w:t>
      </w:r>
      <w:r>
        <w:t>[21]</w:t>
      </w:r>
      <w:r>
        <w:t xml:space="preserve">; terrain from SRTM </w:t>
      </w:r>
      <w:r>
        <w:t>[22]</w:t>
      </w:r>
      <w:r>
        <w:t xml:space="preserve">; fuel from ESA WorldCover at 10 m </w:t>
      </w:r>
      <w:r>
        <w:t>[23]</w:t>
      </w:r>
      <w:r>
        <w:t xml:space="preserve">; and road networks, building footprints and candidate refuge and depot points of interest from OpenStreetMap, graph-built with OSMnx </w:t>
      </w:r>
      <w:r>
        <w:t>[24, 25]</w:t>
      </w:r>
      <w:r>
        <w:t>. No proprietary or paid source is used, and the repository distributes no raw data: acquisition scripts and manifests reproduce it.</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first supplies most of the selectivity; the floor stops a quiet background from flagging anything a hundredth of a kelvin above its median.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 mean-of-folds over-weights an eight-positive fold, pooled under-weights it to nothing.</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that single object.</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four limitations of this router,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spans -0.0363 to +0.0425.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This manuscript is scanned by that gate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80351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80351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t>Table 1. 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p>
      <w:r>
        <w:rPr>
          <w:b/>
        </w:rPr>
        <w:t xml:space="preserve">Table 1. </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4739"/>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4739"/>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not comparable to published average-precision figures on other benchmarks, whose label definitions, geometry and prevalence all differ.</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[18]</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85614"/>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85614"/>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r>
        <w:t xml:space="preserve">Two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here carries that caveat; paired contrasts are unaffected, both arms using the same origins. </w:t>
      </w:r>
      <w:r>
        <w:rPr>
          <w:b/>
        </w:rPr>
        <w:t>Second, the field itself was reconstructed.</w:t>
      </w:r>
      <w:r>
        <w:t xml:space="preserve"> An earlier lineage of these counts came from the surviving output of a run reverted the next day; the "quasi-static fire core" limitation recorded against those numbers was a property of that reverted field, not of the fire. On the canonical field the core grows by 316.06 % from the first slice to the last. The lineages differ on more than one axis at once, so the movement between them is not a single-variable contrast and no per-origin ledger exists.</w:t>
      </w:r>
    </w:p>
    <w:p>
      <w:pPr>
        <w:pStyle w:val="Heading2"/>
      </w:pPr>
      <w:r>
        <w:t>4.4 Three regions under one rule</w:t>
      </w:r>
    </w:p>
    <w:p>
      <w:r>
        <w:t>The same rule, parameters and stride ran over two further regions acquired identically (Fig. 5, Table 2).</w:t>
      </w:r>
    </w:p>
    <w:p>
      <w:pPr>
        <w:jc w:val="center"/>
      </w:pPr>
      <w:r>
        <w:drawing>
          <wp:inline xmlns:a="http://schemas.openxmlformats.org/drawingml/2006/main" xmlns:pic="http://schemas.openxmlformats.org/drawingml/2006/picture">
            <wp:extent cx="5760000" cy="2698467"/>
            <wp:docPr id="5" name="Picture 5"/>
            <wp:cNvGraphicFramePr>
              <a:graphicFrameLocks noChangeAspect="1"/>
            </wp:cNvGraphicFramePr>
            <a:graphic>
              <a:graphicData uri="http://schemas.openxmlformats.org/drawingml/2006/picture">
                <pic:pic>
                  <pic:nvPicPr>
                    <pic:cNvPr id="0" name="F3_regions.png"/>
                    <pic:cNvPicPr/>
                  </pic:nvPicPr>
                  <pic:blipFill>
                    <a:blip r:embed="rId13"/>
                    <a:stretch>
                      <a:fillRect/>
                    </a:stretch>
                  </pic:blipFill>
                  <pic:spPr>
                    <a:xfrm>
                      <a:off x="0" y="0"/>
                      <a:ext cx="5760000" cy="2698467"/>
                    </a:xfrm>
                    <a:prstGeom prst="rect"/>
                  </pic:spPr>
                </pic:pic>
              </a:graphicData>
            </a:graphic>
          </wp:inline>
        </w:drawing>
      </w:r>
    </w:p>
    <w:p>
      <w:pPr>
        <w:jc w:val="center"/>
      </w:pPr>
      <w:r>
        <w:rPr>
          <w:b/>
          <w:sz w:val="19"/>
        </w:rPr>
        <w:t xml:space="preserve">Figure 5.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t>Table 2. 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p>
      <w:r>
        <w:rPr>
          <w:b/>
        </w:rPr>
        <w:t xml:space="preserve">Table 2. </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66368"/>
            <wp:docPr id="6" name="Picture 6"/>
            <wp:cNvGraphicFramePr>
              <a:graphicFrameLocks noChangeAspect="1"/>
            </wp:cNvGraphicFramePr>
            <a:graphic>
              <a:graphicData uri="http://schemas.openxmlformats.org/drawingml/2006/picture">
                <pic:pic>
                  <pic:nvPicPr>
                    <pic:cNvPr id="0" name="F6_sensitivity.png"/>
                    <pic:cNvPicPr/>
                  </pic:nvPicPr>
                  <pic:blipFill>
                    <a:blip r:embed="rId14"/>
                    <a:stretch>
                      <a:fillRect/>
                    </a:stretch>
                  </pic:blipFill>
                  <pic:spPr>
                    <a:xfrm>
                      <a:off x="0" y="0"/>
                      <a:ext cx="5760000" cy="2266368"/>
                    </a:xfrm>
                    <a:prstGeom prst="rect"/>
                  </pic:spPr>
                </pic:pic>
              </a:graphicData>
            </a:graphic>
          </wp:inline>
        </w:drawing>
      </w:r>
    </w:p>
    <w:p>
      <w:pPr>
        <w:jc w:val="center"/>
      </w:pPr>
      <w:r>
        <w:rPr>
          <w:b/>
          <w:sz w:val="19"/>
        </w:rPr>
        <w:t xml:space="preserve">Figure 6.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the two committed routes as the forecast field is dilated, with the pedestrian cutoff and the radius at which the forecast-aware route first crosses it.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the share of origins whose fire-blind route fails rises from 0.0961 at 600 minutes to 0.5655 at 30 minutes, a ratio of 5.89; at 120 minutes it is 0.2227 and at 60 minutes 0.4017. A short-budget failure share is meaningless without its budget attached, and the 600-minute default was concealing the operational picture. The forecast-aware router never exceeds that budget at Yeongdeok — the class is empty —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 It is evidence for a hazard-aware routing layer, not a cost of one.</w:t>
      </w:r>
    </w:p>
    <w:p>
      <w:r>
        <w:rPr>
          <w:b/>
        </w:rPr>
        <w:t>Terrain changes how people walk, not whether they arrive.</w:t>
      </w:r>
      <w:r>
        <w:t xml:space="preserve"> Applying real slope to edge times raises whole-network traversal time by 26.6 % at Yeongdeok at 60 m sampling (15.14 % and 23.67 % in the two other regions), with a mean absolute gradient of 0.0818 and a mean directional asymmetry of 0.1996 of flat time — which is why the walking graph is directed. Yet the classification barely moves: 42 origins are safe only on the forecast-aware route at 30 m and 60 m sampling and 41 at 90 m, against 41 in the flat control, and the number whose bucket differs from the flat control at all three intervals is </w:t>
      </w:r>
      <w:r>
        <w:rPr>
          <w:b/>
        </w:rPr>
        <w:t>zero</w:t>
      </w:r>
      <w:r>
        <w:t xml:space="preserve"> — three move at some interval, none at all three — while 179 forecast-aware routes, 39.1 %, differ from the flat control at 60 m. Terrain does real work on the paths and none on the verdicts. Switching the objective from distance to time under slope timing changes 150 of 458 routes and cuts the longest walk from 444.0 to 352.8 minutes, saving 91.3 minutes for one worst-case origin; the flat control changes 0 routes, as it must, so the mechanism is identified rather than inferred.</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 This is a risk reduction with a measured breaking point, not robustness.</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Binary verdicts are network-fragile and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hazard field on the responder side only, not an absolute safety guarantee. 57 of the 143 shortest-path routes cross the hazard, which is what the survival-aware policy avoids.</w:t>
      </w:r>
    </w:p>
    <w:p>
      <w:r>
        <w:t>The dispatch ordering is a different story and the honest report of it is negative. It carries a different lineage, stated in the caption of Fig. 7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13450"/>
            <wp:docPr id="7" name="Picture 7"/>
            <wp:cNvGraphicFramePr>
              <a:graphicFrameLocks noChangeAspect="1"/>
            </wp:cNvGraphicFramePr>
            <a:graphic>
              <a:graphicData uri="http://schemas.openxmlformats.org/drawingml/2006/picture">
                <pic:pic>
                  <pic:nvPicPr>
                    <pic:cNvPr id="0" name="F7_dispatch_ordering.png"/>
                    <pic:cNvPicPr/>
                  </pic:nvPicPr>
                  <pic:blipFill>
                    <a:blip r:embed="rId15"/>
                    <a:stretch>
                      <a:fillRect/>
                    </a:stretch>
                  </pic:blipFill>
                  <pic:spPr>
                    <a:xfrm>
                      <a:off x="0" y="0"/>
                      <a:ext cx="5760000" cy="2213450"/>
                    </a:xfrm>
                    <a:prstGeom prst="rect"/>
                  </pic:spPr>
                </pic:pic>
              </a:graphicData>
            </a:graphic>
          </wp:inline>
        </w:drawing>
      </w:r>
    </w:p>
    <w:p>
      <w:pPr>
        <w:jc w:val="center"/>
      </w:pPr>
      <w:r>
        <w:rPr>
          <w:b/>
          <w:sz w:val="19"/>
        </w:rPr>
        <w:t xml:space="preserve">Figure 7.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 xml:space="preserve">Across 360 headline configuration cells — four arms by two windows by three service times by three dispatch delays by five team counts — the shipped deadline-first ordering rescues more than nearest-first in 3.6 % of cells, ties in 36.7 % and loses in 59.7 %. All 13 wins occur at the exploratory 240-minute window; at the committed 75-minute window it wins </w:t>
      </w:r>
      <w:r>
        <w:rPr>
          <w:b/>
        </w:rPr>
        <w:t>0 of 180</w:t>
      </w:r>
      <w:r>
        <w:t xml:space="preserve"> cells, with 88 ties and 92 losses. 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w:t>
      </w:r>
    </w:p>
    <w:p>
      <w:r>
        <w:t>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w:t>
      </w:r>
    </w:p>
    <w:p>
      <w:r>
        <w:t xml:space="preserve">Widening the window axis does not rescue it. Over 2,160 cells on a twelve-point axis from 60 to 600 minutes, deadline-first loses in 68.7 % of cells, ties in 26.0 % and wins in 5.3 %; it beats unsorted order in only 31.5 % of cells and the random mean in 37.8 %. It first wins at a 120-minute window and still fails to win at 600, so no window threshold separates the regions; nor does the number of distinct deadlines, where 1,580 cells fail to win despite having at least as many as the lowest-scoring winning cell. There is no operating region in which the shipped ordering can be recommended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The system's premise is that detection was not the binding failure. That premise is partly testable here, once what the test can and cannot support is separated.</w:t>
      </w:r>
    </w:p>
    <w:p>
      <w:r>
        <w:t xml:space="preserve">Four of the six fires fall inside the GK2A archive and three produced a detection under the rule of Section 3.1 (Table 3). In each, the first satellite-detectable anomaly follows the fire's recorded occurrence time by 22 to 64 minutes. </w:t>
      </w:r>
      <w:r>
        <w:rPr>
          <w:b/>
        </w:rPr>
        <w:t>That reference clock is the weakest part of the measurement and we do not lean on it</w:t>
      </w:r>
      <w:r>
        <w:t>, for the reasons in the caption: a repository design note reads it as a report time and so reads these delays as a satellite arriving after the telephone, but no artifact supports that and this paper does not claim it.</w:t>
      </w:r>
    </w:p>
    <w:p>
      <w:r>
        <w:t xml:space="preserve">Table 3. 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elsewhere describes as the ignition;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p>
      <w:r>
        <w:rPr>
          <w:b/>
        </w:rPr>
        <w:t xml:space="preserve">Table 3. </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[17]</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rather than an operating characteristic. What survives is narrow: a 2 km geostationary pixel does not see a fire until it is already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one field answers the responder's mirror-image question too. That is why the contribution is a coupling rather than a model. It is not a claim that the system knows where the fire will be: the router needs ranking quality, not per-cell precision, because it cuts a cumulative, survival-accumulated surface at its own threshold — and at any usable per-cell precision the weak operating point rules the stronger reading out. That is the first limitation in Section 6.</w:t>
      </w:r>
    </w:p>
    <w:p>
      <w:r>
        <w:rPr>
          <w:b/>
        </w:rPr>
        <w:t>Why n = 6 forbids a threshold guarantee.</w:t>
      </w:r>
      <w:r>
        <w:t xml:space="preserve"> The intuition that a distribution-free method rescues a small-sample setting is wrong in a quantifiable way, and Section 4.2 quantifies it. Small-N event datasets do not get guarantees by changing the calibration method; they get them by having more events.</w:t>
      </w:r>
    </w:p>
    <w:p>
      <w:r>
        <w:rPr>
          <w:b/>
        </w:rPr>
        <w:t>Why the negative dispatch result is worth keeping.</w:t>
      </w:r>
      <w:r>
        <w:t xml:space="preserve"> Its mechanism — a near-degenerate sort key when the operational window closes before the corridors do — is itself a finding about dispatch in this regime.</w:t>
      </w:r>
    </w:p>
    <w:p>
      <w:r>
        <w:rPr>
          <w:b/>
        </w:rPr>
        <w:t>Where the trigger comes from, and where the warning goes.</w:t>
      </w:r>
      <w:r>
        <w:t xml:space="preserve"> Section 4.7 constrains a design question without settling it. It establishes a floor: a 2 km geostationary pixel cannot see a fire below roughly a hectare, so a satellite trigger cannot be an ignition-scale alarm whatever its cadence, and the system treats it as corroboration. It does </w:t>
      </w:r>
      <w:r>
        <w:rPr>
          <w:i/>
        </w:rPr>
        <w:t>not</w:t>
      </w:r>
      <w:r>
        <w:t xml:space="preserve"> establish that the satellite arrives after the emergency call — the design notes had been reading it that way — because no artifact records when the call was made.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w:t>
      </w:r>
    </w:p>
    <w:p>
      <w:r>
        <w:rPr>
          <w:i/>
          <w:color w:val="B42318"/>
        </w:rPr>
        <w:t>[GAP: structured expert consultations with a fire-service duty officer, a village head and a social worker are planned in the project's consultation format; they are design feedback, not collected data, and require the author's consent handling before any quotation appears here]</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Given Section 4.2's operating point, the same evidence is consistent with some of the 42 being detoured around cells that never burned while cells that did burn and were never flagged sit unavoided under both policies. Every control here perturbs the predicted field, so none admits external truth: the paired contrast controls for the router and leaves the field unchecked.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live under a git-ignored raw bundle, so the arm needs the author's laptop — and the two committed manifests for this fire disagree, recording 2,290 and 2,219 detections on boxes whose ignition points sit about 30 km apart, one flagged as reconstructed. Which is authoritative has to be settled first]</w:t>
      </w:r>
    </w:p>
    <w:p>
      <w:r>
        <w:rPr>
          <w:b/>
        </w:rPr>
        <w:t>Six fires, and not six independent ones.</w:t>
      </w:r>
      <w:r>
        <w:t xml:space="preserve"> Uiseong-Andong 2025 and Yeongdeok 2025 belong to the same chain, so the dataset is five independent events plus a co-located pair. The Yeongdeok fold's training data may contain cells of the same fire complex, and a leak-free refit has not been run. </w:t>
      </w:r>
      <w:r>
        <w:rPr>
          <w:i/>
          <w:color w:val="B42318"/>
        </w:rPr>
        <w:t>[GAP: refitting that fold with the co-located fire excluded, re-simulating its field and routing the same 458 origins on the original, leak-free and hindsight fields needs the raw acquisition bundle, which the repository does not distribute; this is the experiment most likely to move the 42-origin result and it is planned before submission]</w:t>
      </w:r>
    </w:p>
    <w:p>
      <w:r>
        <w:rPr>
          <w:b/>
        </w:rPr>
        <w:t>Coverage</w:t>
      </w:r>
      <w:r>
        <w:t>, restated because every absolute Yeongdeok rate depends on it: the walk network contains 32.6 % of that fire's predicted core, the bias is established and its direction is not.</w:t>
      </w:r>
    </w:p>
    <w:p>
      <w:r>
        <w:rPr>
          <w:b/>
        </w:rPr>
        <w:t>Origins are not households.</w:t>
      </w:r>
      <w:r>
        <w:t xml:space="preserve"> They are walk-graph nodes at a fixed stride, so their distribution reflects road-network structure.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This is the measured reason the severity-versus-direction claim was withdrawn, and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because every committed count came from this code, and all divide out of the paired contrasts.</w:t>
      </w:r>
    </w:p>
    <w:p>
      <w:r>
        <w:rPr>
          <w:b/>
        </w:rPr>
        <w:t>Assumptions the results ride on.</w:t>
      </w:r>
      <w:r>
        <w:t xml:space="preserve"> A fixed 0.7 m/s gait speed with no individual variation and no pre-movement delay; an immobile fraction of 0.3; a pedestrian cutoff of 0.5 and a vehicle cutoff of 0.7; dispatch service times and team counts that are proof-of-concept parameters, not measured capacity; and refuge semantics from OpenStreetMap tags, which in rural Korea return parks and pavilions unless corrected for local village-hall tagging.</w:t>
      </w:r>
    </w:p>
    <w:p>
      <w:r>
        <w:rPr>
          <w:b/>
        </w:rPr>
        <w:t>The detection measurement rests on three fires and an unsourced clock.</w:t>
      </w:r>
      <w:r>
        <w:t xml:space="preserve"> Two fires predate the GK2A archive and one is set aside as confounded. No night-time detection appears in the sample, so night performance is unmeasured. Only the size floor stands on its own. </w:t>
      </w:r>
      <w:r>
        <w:rPr>
          <w:i/>
          <w:color w:val="B42318"/>
        </w:rPr>
        <w:t>[GAP: the reference times come from a manifest field marked provenance only, with no record of how the minute was arrived at, so the delays cannot be read against either the true ignition or the emergency call and the sign of the error is unknown in both directions. One record of the 신고접수시각 for one of these fires would settle it and would let the paper state whether a satellite trigger precedes the call]</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deterministically from committed artifacts by </w:t>
      </w:r>
      <w:r>
        <w:rPr>
          <w:rFonts w:ascii="Consolas" w:hAnsi="Consolas"/>
          <w:sz w:val="19"/>
        </w:rPr>
        <w:t>paper/make_figures.py</w:t>
      </w:r>
      <w:r>
        <w:t xml:space="preserve">; no figure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[3]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[4]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[5]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Finney, Mark A. "Fire growth using minimum travel time methods." Canadian Journal of Forest Research, 2002. https://doi.org/10.1139/x02-068</w:t>
      </w:r>
    </w:p>
    <w:p>
      <w:pPr>
        <w:ind w:left="454" w:hanging="454"/>
      </w:pPr>
      <w:r>
        <w:rPr>
          <w:sz w:val="19"/>
        </w:rPr>
        <w:t>[8] Cova, Thomas J. and Johnson, Justin P. "A network flow model for lane-based evacuation routing." Transportation Research Part A: Policy and Practice, 2003. https://doi.org/10.1016/S0965-8564(03)00007-7</w:t>
      </w:r>
    </w:p>
    <w:p>
      <w:pPr>
        <w:ind w:left="454" w:hanging="454"/>
      </w:pPr>
      <w:r>
        <w:rPr>
          <w:sz w:val="19"/>
        </w:rPr>
        <w:t>[9]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[10]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[11]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[12] Li, Dapeng and Cova, Thomas J. and Dennison, Philip E. "Using reverse geocoding to identify prominent wildfire evacuation trigger points." Applied Geography, 2017. https://doi.org/10.1016/j.apgeog.2017.05.008</w:t>
      </w:r>
    </w:p>
    <w:p>
      <w:pPr>
        <w:ind w:left="454" w:hanging="454"/>
      </w:pPr>
      <w:r>
        <w:rPr>
          <w:sz w:val="19"/>
        </w:rPr>
        <w:t>[13]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[14]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[15]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[16]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[17] Dozier, Jeff "A method for satellite identification of surface temperature fields of subpixel resolution." Remote Sensing of Environment, 1981. https://doi.org/10.1016/0034-4257(81)90021-3</w:t>
      </w:r>
    </w:p>
    <w:p>
      <w:pPr>
        <w:ind w:left="454" w:hanging="454"/>
      </w:pPr>
      <w:r>
        <w:rPr>
          <w:sz w:val="19"/>
        </w:rPr>
        <w:t>[18]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[19] Studenski, Stephanie and Perera, Subashan and Patel, Kushang and others "Gait speed and survival in older adults." JAMA, 2011. https://pubmed.ncbi.nlm.nih.gov/21205966/</w:t>
      </w:r>
    </w:p>
    <w:p>
      <w:pPr>
        <w:ind w:left="454" w:hanging="454"/>
      </w:pPr>
      <w:r>
        <w:rPr>
          <w:sz w:val="19"/>
        </w:rPr>
        <w:t>[20] NASA "Fire Information for Resource Management System (FIRMS)." 2026. https://firms.modaps.eosdis.nasa.gov/</w:t>
      </w:r>
    </w:p>
    <w:p>
      <w:pPr>
        <w:ind w:left="454" w:hanging="454"/>
      </w:pPr>
      <w:r>
        <w:rPr>
          <w:sz w:val="19"/>
        </w:rPr>
        <w:t>[21] Hersbach, Hans and others "ERA5 hourly data on single levels from 1940 to present." Copernicus Climate Change Service (C3S) Climate Data Store, 2023. https://cds.climate.copernicus.eu/datasets/reanalysis-era5-single-levels</w:t>
      </w:r>
    </w:p>
    <w:p>
      <w:pPr>
        <w:ind w:left="454" w:hanging="454"/>
      </w:pPr>
      <w:r>
        <w:rPr>
          <w:sz w:val="19"/>
        </w:rPr>
        <w:t>[22] Farr, Tom G. and Rosen, Paul A. and Caro, Edward and others "The Shuttle Radar Topography Mission." Reviews of Geophysics, 2007. https://doi.org/10.1029/2005RG000183</w:t>
      </w:r>
    </w:p>
    <w:p>
      <w:pPr>
        <w:ind w:left="454" w:hanging="454"/>
      </w:pPr>
      <w:r>
        <w:rPr>
          <w:sz w:val="19"/>
        </w:rPr>
        <w:t>[23] ESA WorldCover consortium "ESA WorldCover: global land cover at 10 m from Sentinel-1 and Sentinel-2." 2021. https://esa-worldcover.org/en</w:t>
      </w:r>
    </w:p>
    <w:p>
      <w:pPr>
        <w:ind w:left="454" w:hanging="454"/>
      </w:pPr>
      <w:r>
        <w:rPr>
          <w:sz w:val="19"/>
        </w:rPr>
        <w:t>[24] Boeing, Geoff "OSMnx: new methods for acquiring, constructing, analyzing, and visualizing complex street networks." Computers, Environment and Urban Systems, 2017. https://doi.org/10.1016/j.compenvurbsys.2017.05.004</w:t>
      </w:r>
    </w:p>
    <w:p>
      <w:pPr>
        <w:ind w:left="454" w:hanging="454"/>
      </w:pPr>
      <w:r>
        <w:rPr>
          <w:sz w:val="19"/>
        </w:rPr>
        <w:t>[25]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