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2026-09-12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reach no refuge under it, on a network covering 32.6 % of the predicted fire core whose bias runs in an unmeasured direction. That contrast is measured against a fire-blind baseline, so it does not separate knowing where the fire will be from knowing where it is. That separation has now been measured on this field and on a second region: a present-perimeter opponent, which refuses what is burning now (buffered there, not here) and needs no model at all, recovers most of each region's fire-blind contrast.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belongs to the forecast is a separate question, and Sections 4.3 and 4.5 answer it on both regions against a baseline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whose arms run through one scoring function on one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confirmed survival-aware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the expression that re-derives it and its caveat; most also name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The scan does read templates but matches only registered spellings, and this was not one, so nothing caught it.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real this skill is.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for 2 (Fig. 4; routes and origins are mapped in Fig. 5). No origin falls into the budget-exceeded class at 600 minutes, and none enters the hazard under the forecast-aware policy, which is structural: it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b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b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reaching no refuge),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that plans on no model but is graded on the forecast, refusing only the observed detection cells (a 500 m detection scatter, not a mapped fire line), recovers most of them. Section 4.5's node-pruning build at zero buffer measures that on these origins (</w:t>
      </w:r>
      <w:r>
        <w:rPr>
          <w:rFonts w:ascii="Consolas" w:hAnsi="Consolas"/>
          <w:sz w:val="19"/>
        </w:rPr>
        <w:t>data/processed/present_perimeter_yeongdeok_2025.json</w:t>
      </w:r>
      <w:r>
        <w:t xml:space="preserve">), reproducing the committed partition first. The shift is largely a coupling effect, not a forecasting one. </w:t>
      </w:r>
      <w:r>
        <w:rPr>
          <w:i/>
          <w:color w:val="B42318"/>
        </w:rPr>
        <w:t>[GAP: the same opponent at a swept buffer on these origins, the axis Section 4.5 shows governs how strong it can be made]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b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belong to the Section 4.5 arm and are withheld for the reason that section gives; the committed value is not moved and this is a qualification, not a correction. Yeongdeok's 0 cannot rise, since budgeting the fire-blind arm only takes members out of this bucket. Uljin-Samcheok's 3 has not been re-read, and nothing is inferred from it.</w:t>
      </w:r>
    </w:p>
    <w:p>
      <w:pPr>
        <w:pStyle w:val="Heading2"/>
      </w:pPr>
      <w:r>
        <w:t>4.5 The fair opponent: refusing where the fire is now</w:t>
      </w:r>
    </w:p>
    <w:p>
      <w:r>
        <w:t>Section 4.3's third caveat is now measured.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comparable grid runs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responder origins with no confirmed survival-aware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now also bounds how much of it belongs to the forecast rather than to hazard awareness of any kind: on both regions with a stronger opponent, most of the same origins are recovered by refusing where the fire is now. It is not a claim that the system knows where the fire will be: the router needs ranking quality, not per-cell precision, because it cuts a cumulative, survival-accumulated surface at its own threshold. What that surface is worth against observed burn is Section 6's first limitation.</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 and was re-cut on the right administrative code before use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a floor comparison of that field against observed burn separates neither reading: the predicted core overlaps the burn far better than an equal-area disc centred on the first detections' centroid, but its centre of mass overshoots where the disc's does not (</w:t>
      </w:r>
      <w:r>
        <w:rPr>
          <w:rFonts w:ascii="Consolas" w:hAnsi="Consolas"/>
          <w:sz w:val="19"/>
        </w:rPr>
        <w:t>docs/disc_null.md</w:t>
      </w:r>
      <w:r>
        <w:t xml:space="preserve">). No control on the routing result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no residual is reported against the stronger one.</w:t>
      </w:r>
      <w:r>
        <w:t xml:space="preserve"> Every contrast in Sections 4.3 and 4.4 is against a fire-blind baseline. A present-perimeter opponent replaces it on Uiseong-Andong (Section 4.5) and, at zero buffer, on the canonical Yeongdeok origins (Section 4.3), and most of each region's contrast does not survive. The 42 itself is still the fire-blind contrast and must be read as one. Neither region yields a residual: on Uiseong-Andong two defensible builds of that opponent disagree about it, and on Yeongdeok the buffer is unswept.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classes named "forecast-aware route exceeds budget" and "no safe route" name causes their code conditions do not establish, the search having only failed to reach a refuge within the scan's constraints; the first is empty at Yeongdeok.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 The hazard field cannot be current either: its weather reanalysis publishes days late </w:t>
      </w:r>
      <w:r>
        <w:t>[25]</w:t>
      </w:r>
      <w:r>
        <w:t>.</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a policy which refuses only where the fire is now recovers most of it wherever it has been run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design notes drew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Almost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