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2026-09-11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That separation has now been measured on this field and on a second region: a present-perimeter opponent, which refuses what is burning now (buffered there, not here) and needs no model at all, recovers most of each region's fire-blind contrast.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belongs to the forecast is a separate question, and Sections 4.3 and 4.5 answer it on both regions against a baseline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whose arms run through one scoring function on one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the expression that re-derives it and its caveat; most also name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no prose file goes unscanned for being unlisted; a data file or a generator escapes it. The step that can fail is registration: September 2026 retractions skipped it four times, and each hand-applied correction left the same claim standing in a file that lap had itself edited or shipped. It matches spellings, not meaning, one language and one source line at a time: in an independent probe, sentences reusing a registered spelling were caught and sentences reworded around one were not. All three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The scan does read templates but matches only registered spellings, and this was not one, so nothing caught it.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real this skill is.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for 2 (Fig. 4; routes and origins are mapped in Fig. 5). No origin falls into the budget-exceeded class at 600 minutes, and none enters the hazard under the forecast-aware policy, which is structural: it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that plans on no model but is graded on the forecast, refusing only the observed detection cells (a 500 m detection scatter, not a mapped fire line), recovers most of them. Section 4.5's node-pruning build at zero buffer measures that on these origins (</w:t>
      </w:r>
      <w:r>
        <w:rPr>
          <w:rFonts w:ascii="Consolas" w:hAnsi="Consolas"/>
          <w:sz w:val="19"/>
        </w:rPr>
        <w:t>data/processed/present_perimeter_yeongdeok_2025.json</w:t>
      </w:r>
      <w:r>
        <w:t xml:space="preserve">), reproducing the committed partition first. The shift is largely a coupling effect, not a forecasting one. </w:t>
      </w:r>
      <w:r>
        <w:rPr>
          <w:i/>
          <w:color w:val="B42318"/>
        </w:rPr>
        <w:t>[GAP: the same opponent at a swept buffer on these origins, the axis Section 4.5 shows governs how strong it can be made]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belong to the Section 4.5 arm and are withheld for the reason that section gives; the committed value is not moved and this is a qualification, not a correction. Yeongdeok's 0 cannot rise, since budgeting the fire-blind arm only takes members out of this bucket. Uljin-Samcheok's 3 has not been re-read, and nothing is inferred from it.</w:t>
      </w:r>
    </w:p>
    <w:p>
      <w:pPr>
        <w:pStyle w:val="Heading2"/>
      </w:pPr>
      <w:r>
        <w:t>4.5 The fair opponent: refusing where the fire is now</w:t>
      </w:r>
    </w:p>
    <w:p>
      <w:r>
        <w:t>Section 4.3's third caveat is now measured.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That grid has since been refined — three intermediate widths, the five reproducing cell for cell — and the top is a shoulder two sampled widths wide, not a peak. The opponent's score is reported at the best width measured, a width picked out after the run by scanning outcomes, so it is a maximum over that grid and the forecast's advantage over it non-increasing as widths are added. This refinement moved the best width off the committed one, taking part of that advantage.</w:t>
      </w:r>
    </w:p>
    <w:p>
      <w:r>
        <w:t>Two further caveats bind the whole comparison. The forecast-aware arm plans on the same hazard field it is graded against, a leave-one-fire-out simulation rather than the fire, so it cannot be wrong there (</w:t>
      </w:r>
      <w:r>
        <w:rPr>
          <w:rFonts w:ascii="Consolas" w:hAnsi="Consolas"/>
          <w:sz w:val="19"/>
        </w:rPr>
        <w:t>docs/oracle_gap.md</w:t>
      </w:r>
      <w:r>
        <w:t>); what it is worth against a present-perimeter policy is what trusting that prediction buys, and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now also bounds how much of it belongs to the forecast rather than to hazard awareness of any kind: on both regions with a stronger opponent, most of the same origins are recovered by refusing where the fire is now. It is not a claim that the system knows where the fire will be: the router needs ranking quality, not per-cell precision, because it cuts a cumulative, survival-accumulated surface at its own threshold. What that surface is worth against observed burn is Section 6's first limitation.</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an origin-level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 and was re-cut on the right administrative code before use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a floor comparison of that field against observed burn separates neither reading: the predicted core overlaps the burn far better than an equal-area disc centred on the first detections' centroid, but its centre of mass overshoots where the disc's does not (</w:t>
      </w:r>
      <w:r>
        <w:rPr>
          <w:rFonts w:ascii="Consolas" w:hAnsi="Consolas"/>
          <w:sz w:val="19"/>
        </w:rPr>
        <w:t>docs/disc_null.md</w:t>
      </w:r>
      <w:r>
        <w:t xml:space="preserve">). No control on the routing result admits external truth. </w:t>
      </w:r>
      <w:r>
        <w:rPr>
          <w:i/>
          <w:color w:val="B42318"/>
        </w:rPr>
        <w:t>[GAP: settling this needs a third routing pass over the same 458 origins on the observed FIRMS footprint, reporting how many of the 42 fire-blind routes intersect observed burn inside the walker's arrival window. That field is committed on the same grid, on its own clock, an observation and not the fire]</w:t>
      </w:r>
    </w:p>
    <w:p>
      <w:r>
        <w:rPr>
          <w:b/>
        </w:rPr>
        <w:t>The counterfactual was weak, and no residual is reported against the stronger one.</w:t>
      </w:r>
      <w:r>
        <w:t xml:space="preserve"> Every contrast in Sections 4.3 and 4.4 is against a fire-blind baseline. A present-perimeter opponent replaces it on Uiseong-Andong (Section 4.5) and, at zero buffer, on the canonical Yeongdeok origins (Section 4.3), and most of each region's contrast does not survive. The 42 itself is still the fire-blind contrast and must be read as one. Neither region yields a residual: on Uiseong-Andong two defensible builds of that opponent disagree about it, and on Yeongdeok the buffer is unswept.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 The hazard field cannot be current either: its weather reanalysis publishes days late </w:t>
      </w:r>
      <w:r>
        <w:t>[25]</w:t>
      </w:r>
      <w:r>
        <w:t>.</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decisions measurably, as a paired contrast — 42 of 458 scanned origins on the canonical Yeongdeok field reach a refuge only under the forecast-aware policy, on a network covering 32.6 % of that fire's predicted core. That contrast is against a fire-blind baseline, and a policy which refuses only where the fire is now recovers most of it wherever it has been run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design notes drew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Almost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