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2026-09-10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during the March 2025 Gyeongbuk wildfires, the largest on Korea's record by burned area. Neither answered which way a rural household should walk now, or whether a rescue crew can still reach the house. WildfireGuardian couples an event-held-out ignition-probability model to a time-expanded pedestrian router and a rescue-ingress calculation, and re-derives every published number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under the forecast-aware policy, and 2 have no safe walking route, on a network covering 32.6 % of the predicted fire core whose bias runs in an unmeasured direction. That contrast is measured against a fire-blind baseline, so it does not separate knowing where the fire will be from knowing where it is. On a second region that separation has now been measured: a present-perimeter opponent, which refuses what is burning now plus a fixed buffer and needs no model at all, recovers most of what that region's fire-blind contrast credits to the forecast.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On a six-event dataset the transferable contribution is the evaluation design — paired contrasts, matched null controls, and registries that keep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splits them differently between districts and counts alongside them a separate fire's dead,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and the service itself warns that a fire-affected area read off the fire line and a surveyed damage area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4.8 measures the fastest satellite product over Korea and finds its first anomaly tens of minutes after the recorded occurrence time, at a size floor too coarse for an ignition, on a clock whose relation to the emergency call this repository cannot establish. The gap was between knowing and acting. A district-level probability does not tell one household on one lane which direction is still walkable at 09:40, nor a fire crew which of the houses that cannot self-evacuate they can still drive to, or for how much longer. It is sharpest where the deaths occurred: dispersed rural settlement, slow walkers,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It fits a per-cell ignition-probability model, propagates it into a time-sliced hazard field, and consumes that field twice: in a time-expanded pedestrian router that refuses nodes whose forecast risk will have crossed a cutoff by the walker's arrival, and in a rescue-ingress calculation asking when each approach corridor closes to a vehicle. Its outputs are operator documents (Fig. 1).</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the discipline of matched controls of Section 3.5 is what six fires permit and a large dataset makes easy to skip. How much of the change the forecast itself is responsible for is a separate question, and Section 4.5 answers it on one region by replacing the baseline with a policy that needs no model: much less than the fire-blind contrast implies. The non-claim is the dispatch ordering, which wins 0 of 180 configuration cells against nearest-first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finds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Operational systems in Korea.</w:t>
      </w:r>
      <w:r>
        <w:t xml:space="preserve"> The Korea Forest Service's research institute publishes a 2026 user guide for an AI spread-prediction console whose catalogue chapter list implies an operator-set origin point </w:t>
      </w:r>
      <w:r>
        <w:t>[10]</w:t>
      </w:r>
      <w:r>
        <w:t xml:space="preserve">; Gyeonggi Province's civil-defence alert model predicts a fire's route, arrival times and the township it reaches, in half-hour steps; trial operation was announced for April 2026 </w:t>
      </w:r>
      <w:r>
        <w:t>[11]</w:t>
      </w:r>
      <w:r>
        <w:t>. Both answer where the fire goes, for a suppression commander or a siren operator. What was opened of either — a catalogue entry, press reports — describes no output of this paper's kind: which household can still walk out, and by which path. No accuracy comparison is made in either direction: no published validation of either was located, and the circulating capability figures are agency plan statements.</w:t>
      </w:r>
    </w:p>
    <w:p>
      <w:r>
        <w:rPr>
          <w:b/>
        </w:rPr>
        <w:t>Evacuation routing.</w:t>
      </w:r>
      <w:r>
        <w:t xml:space="preserve"> Lane-based evacuation routing was posed as a network flow problem two decades ago </w:t>
      </w:r>
      <w:r>
        <w:t>[12]</w:t>
      </w:r>
      <w:r>
        <w:t xml:space="preserve">. Recent work brings wildfire information into that formulation directly: Borgwardt et al. pose wildfire evacuation as maximum flow on a time-expanded network with integrated hazard data </w:t>
      </w:r>
      <w:r>
        <w:t>[13]</w:t>
      </w:r>
      <w:r>
        <w:t xml:space="preserve">, and RESCUE routes under stochastic congestion and uncertain spread </w:t>
      </w:r>
      <w:r>
        <w:t>[14]</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buffer edge whose crossing by the fire front should trigger evacuation, set by coupling spread modelling to GIS </w:t>
      </w:r>
      <w:r>
        <w:t>[15]</w:t>
      </w:r>
      <w:r>
        <w:t xml:space="preserve">, refined by reverse geocoding to identify the prominent ones </w:t>
      </w:r>
      <w:r>
        <w:t>[16]</w:t>
      </w:r>
      <w:r>
        <w:t xml:space="preserve">, and later coupled to fire and traffic simulation models </w:t>
      </w:r>
      <w:r>
        <w:t>[17]</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[18]</w:t>
      </w:r>
      <w:r>
        <w:t xml:space="preserve">; the wildland-urban-interface framing follows the standard definition </w:t>
      </w:r>
      <w:r>
        <w:t>[19]</w:t>
      </w:r>
      <w:r>
        <w:t>, whose transfer to rural Korean settlement is untested here.</w:t>
      </w:r>
    </w:p>
    <w:p>
      <w:r>
        <w:rPr>
          <w:b/>
        </w:rPr>
        <w:t>Detection.</w:t>
      </w:r>
      <w:r>
        <w:t xml:space="preserve"> Geostationary imagers trade resolution for cadence: GK2A's Advanced Meteorological Imager returns its sectored regions every two minutes at 2 km in the infrared </w:t>
      </w:r>
      <w:r>
        <w:t>[20]</w:t>
      </w:r>
      <w:r>
        <w:t xml:space="preserve">. Section 4.8 measures what that buys, using the mid-infrared contrast and a sub-pixel area inversion after Dozier </w:t>
      </w:r>
      <w:r>
        <w:t>[21]</w:t>
      </w:r>
      <w:r>
        <w:t>.</w:t>
      </w:r>
    </w:p>
    <w:p>
      <w:r>
        <w:rPr>
          <w:b/>
        </w:rPr>
        <w:t>Calibration and guarantees.</w:t>
      </w:r>
      <w:r>
        <w:t xml:space="preserve"> Conformal risk control offers distribution-free guarantees on a monotone risk by calibrating a threshold </w:t>
      </w:r>
      <w:r>
        <w:t>[22]</w:t>
      </w:r>
      <w:r>
        <w:t>. Section 4.2 reports what happens when it is applied honestly at six fires.</w:t>
      </w:r>
    </w:p>
    <w:p>
      <w:r>
        <w:rPr>
          <w:b/>
        </w:rPr>
        <w:t>Walking speed.</w:t>
      </w:r>
      <w:r>
        <w:t xml:space="preserve"> The elderly gait speeds this system assumes sit in the range over which gait speed predicts survival in older adults </w:t>
      </w:r>
      <w:r>
        <w:t>[23]</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[24]</w:t>
      </w:r>
      <w:r>
        <w:t xml:space="preserve">, whose detection times define the prediction target; weather from ERA5 reanalysis on single levels </w:t>
      </w:r>
      <w:r>
        <w:t>[25]</w:t>
      </w:r>
      <w:r>
        <w:t xml:space="preserve">; terrain from SRTM </w:t>
      </w:r>
      <w:r>
        <w:t>[26]</w:t>
      </w:r>
      <w:r>
        <w:t xml:space="preserve">; fuel from ESA WorldCover at 10 m </w:t>
      </w:r>
      <w:r>
        <w:t>[27]</w:t>
      </w:r>
      <w:r>
        <w:t xml:space="preserve">; and road networks, building footprints and candidate refuge and depot points of interest from OpenStreetMap, graph-built with OSMnx </w:t>
      </w:r>
      <w:r>
        <w:t>[28, 29]</w:t>
      </w:r>
      <w:r>
        <w:t>. No proprietary or paid source is used.</w:t>
      </w:r>
    </w:p>
    <w:p>
      <w:r>
        <w:t xml:space="preserve">One further public input feeds only Section 4.8's detection-timing measurement: GK2A level-1B radiances from its two-minute Korean local-area sector,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this router's approximations, deliberately not fixed. All divide out of a paired contrast: both arms run through the same scoring function on the same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4.7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its JSON path, the expression that re-derives it, its caveat, and the phrasings that misstate it; a gate re-derives every entry on every change, scans the prose for retired figures and quantity-name collisions, and refuses a document stating a registered quantity with a different value. Superseded values are annotated in place, never deleted. A second registry holds the claims this project has </w:t>
      </w:r>
      <w:r>
        <w:rPr>
          <w:b/>
        </w:rPr>
        <w:t>withdrawn</w:t>
      </w:r>
      <w:r>
        <w:t xml:space="preserve"> — what each asserted, what retired it, what should be said instead, and the spellings that restate it — and every gated document is read against it, so no prose file goes unscanned for being unlisted; a data file or a generator escapes it. The step that can fail is registration: September 2026 retractions skipped it four times, and each hand-applied correction left the same claim standing in a file that lap had itself edited or shipped. It matches spellings, not meaning, one language and one source line at a time: in an independent probe, sentences reusing a registered spelling were caught and sentences reworded around one were not. All three limits are recorded rather than designed away. A further limit, from the same month, is not about matching at all: some of this project's artifacts are </w:t>
      </w:r>
      <w:r>
        <w:rPr>
          <w:i/>
        </w:rPr>
        <w:t>generated</w:t>
      </w:r>
      <w:r>
        <w:t xml:space="preserve"> from templates, and a sentence that had just been retired was corrected in one generated file while its template kept it. Nothing a reader saw was wrong and every gate passed, so the retired wording would have returned at the next rebuild. Had that sentence been a registered spelling the scan would have found it in the template, which it does read; it was not, so nothing did. The general point needs no registry: a correction to a generated file is one rebuild from being undone. The repair was two tests rather than more spellings — the generated file against its template line for line, and the data injected into it against a fresh run of the builder, field by field apart from the build's own stamps and an integrity block a companion test covers. Their value is prospective: the defect that prompted them, a shipped file carrying registry counts from a build predating a later registration run, was found by hand with every other gate green, and they were shown to catch it only by replaying the pre-repair payload. Their oracle is the builder, so they certify that the shipped file is what the builder emits today and never that what the builder emits is right, and one provenance field in the same payload is stale by construction and passes them. This manuscript is scanned by both gates like any other document.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rPr>
          <w:b/>
        </w:rPr>
        <w:t xml:space="preserve">Table 1. </w:t>
      </w:r>
      <w:r>
        <w:t>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much of this skill is real.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[22]</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hazard awareness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at all for 2 (Fig. 4; the routes and the origins themselves are mapped in Fig. 5). No origin falls into the budget-exceeded class at 600 minutes, and none enters the hazard under the forecast-aware policy, which is structural: the policy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fire-blind arm consults no hazard at all, present or forecast, so the shift between the two bars is what hazard awareness of any kind buys and not what the forecast alone buys (Section 4.3, third caveat).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with no safe walking route),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Three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a run reverted the next day, and the "quasi-static fire core" limitation recorded against those numbers was a property of that reverted field, not of the fire: on the canonical field the core grows by 316.06 % from the first slice to the last. The two lineages differ on more than one axis, so the movement between them is not a single-variable contrast and no per-origin ledger exists.</w:t>
      </w:r>
    </w:p>
    <w:p>
      <w:r>
        <w:rPr>
          <w:b/>
        </w:rPr>
        <w:t>Third, the counterfactual is a fire-blind walk.</w:t>
      </w:r>
      <w:r>
        <w:t xml:space="preserve"> The baseline consults no hazard at all, present or forecast, so the 42 measure what hazard awareness of any kind buys, not what the forecast alone buys: a router refusing only the cells alight at departure would recover an unmeasured share of them. This is a coupling effect, not a forecasting effect. That arm has since been run, on a different region and against that region's own fire-blind contrast, and Section 4.5 reports it; it has not been run over these 458 origins. </w:t>
      </w:r>
      <w:r>
        <w:rPr>
          <w:i/>
          <w:color w:val="B42318"/>
        </w:rPr>
        <w:t>[GAP: the present-perimeter baseline over the canonical Yeongdeok origins, which is what would separate the two effects on this field rather than on another one]</w:t>
      </w:r>
    </w:p>
    <w:p>
      <w:pPr>
        <w:pStyle w:val="Heading2"/>
      </w:pPr>
      <w:r>
        <w:t>4.4 Three regions under one rule</w:t>
      </w:r>
    </w:p>
    <w:p>
      <w:r>
        <w:t>The same rule, parameters and stride ran over two further regions acquired identically (Fig. 6,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rPr>
          <w:b/>
        </w:rPr>
        <w:t xml:space="preserve">Table 2. </w:t>
      </w:r>
      <w:r>
        <w:t>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All three are measured against the same fire-blind baseline, so §4.3's third caveat binds them too.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as zero dispatches.</w:t>
      </w:r>
    </w:p>
    <w:p>
      <w:r>
        <w:t>One column of that table needs a qualification the next section's run supplied. The committed classification scores the fire-blind route under no time budget while the forecast-aware router enforces one internally, so the two arms are read under different rules. The over-budget column is the only bucket in the series that runs against the system — its registered meaning is that the fire-blind route is safe and the forecast-aware route is not — and at Uiseong-Andong its 2 origins have fire-blind arrival times past that budget. Under one budget applied to both arms they are origins no arm saves, rather than origins on which the forecast lost. The two arrival times are values of the Section 4.5 arm and are withheld for the reason that section gives. The committed value is not moved and this paper reports the qualification rather than a correction. Yeongdeok's 0 cannot rise, since budgeting the fire-blind arm only takes members out of this bucket. Uljin-Samcheok's 3 has not been re-read, and nothing is inferred from it.</w:t>
      </w:r>
    </w:p>
    <w:p>
      <w:pPr>
        <w:pStyle w:val="Heading2"/>
      </w:pPr>
      <w:r>
        <w:t>4.5 The fair opponent: refusing where the fire is now</w:t>
      </w:r>
    </w:p>
    <w:p>
      <w:r>
        <w:t>Section 4.3's third caveat names the weakness of a fire-blind baseline, and on one region it has now been measured rather than conceded. A present-perimeter policy is what a county office can run with no model at all: refuse every node within a fixed buffer of the cells burning at the departure slice, drop any refuge that falls inside the buffer, and take the shortest remaining path. Run over the same Uiseong-Andong origins, refuges and hazard field as the two arms of Section 4.4, scored by the same function and with one 600-minute budget applied to all three arms, it recovers most of the origins that region's fire-blind contrast credits to the forecast-aware policy. The run reproduces the committed classification — every bucket count and the origin identities the committed artifact stores — before it measures anything, which is the warrant for reading its column beside the other two.</w:t>
      </w:r>
    </w:p>
    <w:p>
      <w:r>
        <w:t xml:space="preserve">This paper states no count from that arm, and the reason is itself a result. The row was built twice, independently and concurrently, on the same origins and field, by two different constructions of the opponent. One prunes the refused nodes out of the graph and runs the same distance-minimising search as the fire-blind control, under no time budget. The other runs the time-expanded, time-minimising router against a frozen binary hazard, holds it to the 600-minute budget, and lets it refuse to let a walker already inside the buffer set out at all. Both reproduce the committed classification first, both are internally consistent, and they disagree substantially on what the forecast is then still worth. Which is the fair opponent is a modelling choice the project has not made, and not one an analysis settles by preferring its own. The registry governing these values also requires the disputed quantity to travel with any count taken from the arm, so this section quotes none of them and names the dispute instead. </w:t>
      </w:r>
      <w:r>
        <w:rPr>
          <w:i/>
          <w:color w:val="B42318"/>
        </w:rPr>
        <w:t>[GAP: which build of the present-perimeter opponent defines the comparison, and therefore what the forecast's residual advantage over it is]</w:t>
      </w:r>
    </w:p>
    <w:p>
      <w:r>
        <w:t>The buffer width is a second free parameter and nothing in the data chooses it. The committed arm was run at five widths, and across them the opponent's failures change in kind rather than simply shrinking: at the two narrowest the buffer sits inside the fire's own growth and most failures are routes that cross ground which is alight by the time the walker reaches it, while at the two widest most failures are refuges reached only after the evacuation budget has expired, with a few origins walled off from every refuge. That breakdown by failure type is the committed arm's alone; what both constructions agree on is the coarser statement — thin buffers send walkers through burning ground, wide ones strand them — which is why the change of kind is stated here and the counts are not. They do not agree on which buffer width comes off best either, so the dispute above is not confined to the residual it leaves. That grid has since been refined — three intermediate widths, the five reproducing cell for cell — and the top is a shoulder two sampled widths wide, not a peak. The opponent's score is reported at the best width measured, a width picked out after the run by scanning outcomes, so it is a maximum over that grid and the forecast's advantage over it non-increasing as widths are added. This refinement moved the best width off the committed one, taking part of that advantage.</w:t>
      </w:r>
    </w:p>
    <w:p>
      <w:r>
        <w:t>Two further caveats bind the whole comparison. The forecast-aware arm plans on the same hazard field it is graded against, a leave-one-fire-out simulation rather than the fire, so it cannot be wrong there (</w:t>
      </w:r>
      <w:r>
        <w:rPr>
          <w:rFonts w:ascii="Consolas" w:hAnsi="Consolas"/>
          <w:sz w:val="19"/>
        </w:rPr>
        <w:t>docs/oracle_gap.md</w:t>
      </w:r>
      <w:r>
        <w:t>); what it is worth against a present-perimeter policy is what trusting that prediction buys, and this project's own model is worth less, by an amount no run here measures. And this is one fire, one ignition and one departure time: which buffer comes off best is a property of this fire's growth against this road network, and no run tests it on a second one.</w:t>
      </w:r>
    </w:p>
    <w:p>
      <w:pPr>
        <w:pStyle w:val="Heading2"/>
      </w:pPr>
      <w:r>
        <w:t>4.6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(Fig. 7, left), the share of origins whose fire-blind route fails rises from 0.0961 at 600 minutes to 0.5655 at 30 minutes, a ratio of 5.89.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directional asymmetry of 0.1996 of flat time — which is why the walking graph is directed. Yet the classification barely moves (Fig. 7, centre): 42 origins are safe only on the forecast-aware route at 30 m and 60 m sampling and 41 at 90 m, against 41 in the flat control, and the number whose bucket differs from the flat control at all three intervals is </w:t>
      </w:r>
      <w:r>
        <w:rPr>
          <w:b/>
        </w:rPr>
        <w:t>zero</w:t>
      </w:r>
      <w:r>
        <w:t>, while 179 forecast-aware routes, 39.1 %, differ from the flat control at 60 m. Switching the objective from distance to time under slope timing changes 150 of 458 routes and cuts the longest walk from 444.0 to 352.8 minutes;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4.7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8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Table 3 tallies deadline-first against nearest-first on two grids: the headline grid of Fig. 8, and an exploratory grid that widens the window axis to twelve points to look for an operating region where the shipped ordering would pay.</w:t>
      </w:r>
    </w:p>
    <w:p>
      <w:r>
        <w:rPr>
          <w:b/>
        </w:rPr>
        <w:t xml:space="preserve">Table 3. </w:t>
      </w:r>
      <w:r>
        <w:t>Deadline-first against nearest-first, on the headline grid and on a widened window axis. The headline grid is four arms by two windows by three service times by three dispatch delays by five team counts; the widened grid replaces the two windows with twelve points from 60 to 600 minutes. Both carry the lineage stated in the caption of Fig. 8. Each entry is a number of configuration cells and its share of that row's grid; these are cells, not people. Every one of the headline grid's 13 wins falls at the exploratory 240-minute window, so the committed-window row is the operationally relevant one. The per-window cell count on the widened axis is its 2,160 cells over twelve window points.</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grid</w:t>
            </w:r>
          </w:p>
        </w:tc>
        <w:tc>
          <w:tcPr>
            <w:tcW w:type="dxa" w:w="1860"/>
          </w:tcPr>
          <w:p>
            <w:r>
              <w:rPr>
                <w:b/>
                <w:sz w:val="19"/>
              </w:rPr>
            </w:r>
            <w:r>
              <w:rPr>
                <w:b/>
                <w:sz w:val="19"/>
              </w:rPr>
              <w:t>cells</w:t>
            </w:r>
          </w:p>
        </w:tc>
        <w:tc>
          <w:tcPr>
            <w:tcW w:type="dxa" w:w="1860"/>
          </w:tcPr>
          <w:p>
            <w:r>
              <w:rPr>
                <w:b/>
                <w:sz w:val="19"/>
              </w:rPr>
            </w:r>
            <w:r>
              <w:rPr>
                <w:b/>
                <w:sz w:val="19"/>
              </w:rPr>
              <w:t>wins</w:t>
            </w:r>
          </w:p>
        </w:tc>
        <w:tc>
          <w:tcPr>
            <w:tcW w:type="dxa" w:w="1860"/>
          </w:tcPr>
          <w:p>
            <w:r>
              <w:rPr>
                <w:b/>
                <w:sz w:val="19"/>
              </w:rPr>
            </w:r>
            <w:r>
              <w:rPr>
                <w:b/>
                <w:sz w:val="19"/>
              </w:rPr>
              <w:t>ties</w:t>
            </w:r>
          </w:p>
        </w:tc>
        <w:tc>
          <w:tcPr>
            <w:tcW w:type="dxa" w:w="1860"/>
          </w:tcPr>
          <w:p>
            <w:r>
              <w:rPr>
                <w:b/>
                <w:sz w:val="19"/>
              </w:rPr>
            </w:r>
            <w:r>
              <w:rPr>
                <w:b/>
                <w:sz w:val="19"/>
              </w:rPr>
              <w:t>losses</w:t>
            </w:r>
          </w:p>
        </w:tc>
      </w:tr>
      <w:tr>
        <w:tc>
          <w:tcPr>
            <w:tcW w:type="dxa" w:w="1860"/>
          </w:tcPr>
          <w:p>
            <w:r>
              <w:rPr>
                <w:sz w:val="19"/>
              </w:rPr>
            </w:r>
            <w:r>
              <w:rPr>
                <w:sz w:val="19"/>
              </w:rPr>
              <w:t>Headline, both windows</w:t>
            </w:r>
          </w:p>
        </w:tc>
        <w:tc>
          <w:tcPr>
            <w:tcW w:type="dxa" w:w="1860"/>
          </w:tcPr>
          <w:p>
            <w:r>
              <w:rPr>
                <w:sz w:val="19"/>
              </w:rPr>
            </w:r>
            <w:r>
              <w:rPr>
                <w:sz w:val="19"/>
              </w:rPr>
              <w:t>360</w:t>
            </w:r>
          </w:p>
        </w:tc>
        <w:tc>
          <w:tcPr>
            <w:tcW w:type="dxa" w:w="1860"/>
          </w:tcPr>
          <w:p>
            <w:r>
              <w:rPr>
                <w:sz w:val="19"/>
              </w:rPr>
            </w:r>
            <w:r>
              <w:rPr>
                <w:sz w:val="19"/>
              </w:rPr>
              <w:t>13 (3.6 %)</w:t>
            </w:r>
          </w:p>
        </w:tc>
        <w:tc>
          <w:tcPr>
            <w:tcW w:type="dxa" w:w="1860"/>
          </w:tcPr>
          <w:p>
            <w:r>
              <w:rPr>
                <w:sz w:val="19"/>
              </w:rPr>
            </w:r>
            <w:r>
              <w:rPr>
                <w:sz w:val="19"/>
              </w:rPr>
              <w:t>132 (36.7 %)</w:t>
            </w:r>
          </w:p>
        </w:tc>
        <w:tc>
          <w:tcPr>
            <w:tcW w:type="dxa" w:w="1860"/>
          </w:tcPr>
          <w:p>
            <w:r>
              <w:rPr>
                <w:sz w:val="19"/>
              </w:rPr>
            </w:r>
            <w:r>
              <w:rPr>
                <w:sz w:val="19"/>
              </w:rPr>
              <w:t>215 (59.7 %)</w:t>
            </w:r>
          </w:p>
        </w:tc>
      </w:tr>
      <w:tr>
        <w:tc>
          <w:tcPr>
            <w:tcW w:type="dxa" w:w="1860"/>
          </w:tcPr>
          <w:p>
            <w:r>
              <w:rPr>
                <w:sz w:val="19"/>
              </w:rPr>
            </w:r>
            <w:r>
              <w:rPr>
                <w:sz w:val="19"/>
              </w:rPr>
              <w:t>Headline, committed 75-min window</w:t>
            </w:r>
          </w:p>
        </w:tc>
        <w:tc>
          <w:tcPr>
            <w:tcW w:type="dxa" w:w="1860"/>
          </w:tcPr>
          <w:p>
            <w:r>
              <w:rPr>
                <w:sz w:val="19"/>
              </w:rPr>
            </w:r>
            <w:r>
              <w:rPr>
                <w:sz w:val="19"/>
              </w:rPr>
              <w:t>180</w:t>
            </w:r>
          </w:p>
        </w:tc>
        <w:tc>
          <w:tcPr>
            <w:tcW w:type="dxa" w:w="1860"/>
          </w:tcPr>
          <w:p>
            <w:r>
              <w:rPr>
                <w:sz w:val="19"/>
              </w:rPr>
            </w:r>
            <w:r>
              <w:rPr>
                <w:b/>
                <w:sz w:val="19"/>
              </w:rPr>
              <w:t>0</w:t>
            </w:r>
            <w:r>
              <w:rPr>
                <w:sz w:val="19"/>
              </w:rPr>
              <w:t xml:space="preserve"> (0.0 %)</w:t>
            </w:r>
          </w:p>
        </w:tc>
        <w:tc>
          <w:tcPr>
            <w:tcW w:type="dxa" w:w="1860"/>
          </w:tcPr>
          <w:p>
            <w:r>
              <w:rPr>
                <w:sz w:val="19"/>
              </w:rPr>
            </w:r>
            <w:r>
              <w:rPr>
                <w:sz w:val="19"/>
              </w:rPr>
              <w:t>88 (48.9 %)</w:t>
            </w:r>
          </w:p>
        </w:tc>
        <w:tc>
          <w:tcPr>
            <w:tcW w:type="dxa" w:w="1860"/>
          </w:tcPr>
          <w:p>
            <w:r>
              <w:rPr>
                <w:sz w:val="19"/>
              </w:rPr>
            </w:r>
            <w:r>
              <w:rPr>
                <w:sz w:val="19"/>
              </w:rPr>
              <w:t>92 (51.1 %)</w:t>
            </w:r>
          </w:p>
        </w:tc>
      </w:tr>
      <w:tr>
        <w:tc>
          <w:tcPr>
            <w:tcW w:type="dxa" w:w="1860"/>
          </w:tcPr>
          <w:p>
            <w:r>
              <w:rPr>
                <w:sz w:val="19"/>
              </w:rPr>
            </w:r>
            <w:r>
              <w:rPr>
                <w:sz w:val="19"/>
              </w:rPr>
              <w:t>Widened window axis, 60–600 min</w:t>
            </w:r>
          </w:p>
        </w:tc>
        <w:tc>
          <w:tcPr>
            <w:tcW w:type="dxa" w:w="1860"/>
          </w:tcPr>
          <w:p>
            <w:r>
              <w:rPr>
                <w:sz w:val="19"/>
              </w:rPr>
            </w:r>
            <w:r>
              <w:rPr>
                <w:sz w:val="19"/>
              </w:rPr>
              <w:t>2,160</w:t>
            </w:r>
          </w:p>
        </w:tc>
        <w:tc>
          <w:tcPr>
            <w:tcW w:type="dxa" w:w="1860"/>
          </w:tcPr>
          <w:p>
            <w:r>
              <w:rPr>
                <w:sz w:val="19"/>
              </w:rPr>
            </w:r>
            <w:r>
              <w:rPr>
                <w:sz w:val="19"/>
              </w:rPr>
              <w:t>115 (5.3 %)</w:t>
            </w:r>
          </w:p>
        </w:tc>
        <w:tc>
          <w:tcPr>
            <w:tcW w:type="dxa" w:w="1860"/>
          </w:tcPr>
          <w:p>
            <w:r>
              <w:rPr>
                <w:sz w:val="19"/>
              </w:rPr>
            </w:r>
            <w:r>
              <w:rPr>
                <w:sz w:val="19"/>
              </w:rPr>
              <w:t>561 (26.0 %)</w:t>
            </w:r>
          </w:p>
        </w:tc>
        <w:tc>
          <w:tcPr>
            <w:tcW w:type="dxa" w:w="1860"/>
          </w:tcPr>
          <w:p>
            <w:r>
              <w:rPr>
                <w:sz w:val="19"/>
              </w:rPr>
            </w:r>
            <w:r>
              <w:rPr>
                <w:sz w:val="19"/>
              </w:rPr>
              <w:t>1,484 (68.7 %)</w:t>
            </w:r>
          </w:p>
        </w:tc>
      </w:tr>
      <w:tr>
        <w:tc>
          <w:tcPr>
            <w:tcW w:type="dxa" w:w="1860"/>
          </w:tcPr>
          <w:p>
            <w:r>
              <w:rPr>
                <w:sz w:val="19"/>
              </w:rPr>
            </w:r>
            <w:r>
              <w:rPr>
                <w:sz w:val="19"/>
              </w:rPr>
              <w:t>Widened axis, at the 600-min window</w:t>
            </w:r>
          </w:p>
        </w:tc>
        <w:tc>
          <w:tcPr>
            <w:tcW w:type="dxa" w:w="1860"/>
          </w:tcPr>
          <w:p>
            <w:r>
              <w:rPr>
                <w:sz w:val="19"/>
              </w:rPr>
            </w:r>
            <w:r>
              <w:rPr>
                <w:sz w:val="19"/>
              </w:rPr>
              <w:t>180</w:t>
            </w:r>
          </w:p>
        </w:tc>
        <w:tc>
          <w:tcPr>
            <w:tcW w:type="dxa" w:w="1860"/>
          </w:tcPr>
          <w:p>
            <w:r>
              <w:rPr>
                <w:sz w:val="19"/>
              </w:rPr>
            </w:r>
            <w:r>
              <w:rPr>
                <w:sz w:val="19"/>
              </w:rPr>
              <w:t>22 (12.2 %)</w:t>
            </w:r>
          </w:p>
        </w:tc>
        <w:tc>
          <w:tcPr>
            <w:tcW w:type="dxa" w:w="1860"/>
          </w:tcPr>
          <w:p>
            <w:r>
              <w:rPr>
                <w:sz w:val="19"/>
              </w:rPr>
            </w:r>
            <w:r>
              <w:rPr>
                <w:sz w:val="19"/>
              </w:rPr>
              <w:t>22 (12.2 %)</w:t>
            </w:r>
          </w:p>
        </w:tc>
        <w:tc>
          <w:tcPr>
            <w:tcW w:type="dxa" w:w="1860"/>
          </w:tcPr>
          <w:p>
            <w:r>
              <w:rPr>
                <w:sz w:val="19"/>
              </w:rPr>
            </w:r>
            <w:r>
              <w:rPr>
                <w:sz w:val="19"/>
              </w:rPr>
              <w:t>136 (75.6 %)</w:t>
            </w:r>
          </w:p>
        </w:tc>
      </w:tr>
    </w:tbl>
    <w:p/>
    <w:p>
      <w:r>
        <w:t>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 Over the widened axis it beats unsorted order in only 31.5 % of cells and the random mean in 37.8 %.</w:t>
      </w:r>
    </w:p>
    <w:p>
      <w:r>
        <w:t xml:space="preserve">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 Widening the window does not repair that: the first win comes at 120 minutes, and neither a window threshold nor the number of distinct deadlines separates a winning region, 1,580 cells failing to win despite having at least as many deadlines as the lowest-scoring winning cell. No operating region recommends the shipped ordering, and the paper does not construct one. What the analysis does establish is reproducibility: re-deriving 3,744 values from the earlier run cell by cell produced </w:t>
      </w:r>
      <w:r>
        <w:rPr>
          <w:b/>
        </w:rPr>
        <w:t>0</w:t>
      </w:r>
      <w:r>
        <w:t xml:space="preserve"> differences.</w:t>
      </w:r>
    </w:p>
    <w:p>
      <w:pPr>
        <w:pStyle w:val="Heading2"/>
      </w:pPr>
      <w:r>
        <w:t>4.8 How early could a satellite have seen these fires?</w:t>
      </w:r>
    </w:p>
    <w:p>
      <w:r>
        <w:t xml:space="preserve">Four of the six fires fall inside the GK2A archive and three produced a detection under the rule of Section 3.1 (Table 4). In each, the first satellite-detectable anomaly follows the fire's recorded occurrence time by 22 to 64 minutes. </w:t>
      </w:r>
      <w:r>
        <w:rPr>
          <w:b/>
        </w:rPr>
        <w:t>That reference clock is the weakest part of the measurement and we do not lean on it</w:t>
      </w:r>
      <w:r>
        <w:t>, for the reasons given in the caption and in Section 5.</w:t>
      </w:r>
    </w:p>
    <w:p>
      <w:r>
        <w:rPr>
          <w:b/>
        </w:rPr>
        <w:t xml:space="preserve">Table 4. </w:t>
      </w:r>
      <w:r>
        <w:t xml:space="preserve">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[21]</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not an operating characteristic. What survives is narrow: a 2 km pixel does not see a fire until it is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the fire will be; a household needs to know whether its route is still passable on arrival, which makes a slow walker's arrival time a variable in the answer. Section 4.3 is the measurable form of that difference, and Section 4.5 bounds how much of it belongs to the forecast rather than to hazard awareness of any kind: on the one region where the stronger opponent has been built, most of the same origins are recovered by refusing where the fire is now. It is not a claim that the system knows where the fire will be: the router needs ranking quality, not per-cell precision, because it cuts a cumulative, survival-accumulated surface at its own threshold. That the surface itself goes unchecked is the first limitation in Section 6.</w:t>
      </w:r>
    </w:p>
    <w:p>
      <w:r>
        <w:rPr>
          <w:b/>
        </w:rPr>
        <w:t>Why n = 6 forbids a threshold guarantee.</w:t>
      </w:r>
      <w:r>
        <w:t xml:space="preserve"> Section 4.2 quantifies why the intuition that a distribution-free method rescues a small-sample setting is wrong: small-N event datasets get guarantees by having more events, not by changing the calibration method.</w:t>
      </w:r>
    </w:p>
    <w:p>
      <w:r>
        <w:rPr>
          <w:b/>
        </w:rPr>
        <w:t>Where the trigger comes from, and where the warning goes.</w:t>
      </w:r>
      <w:r>
        <w:t xml:space="preserve"> Section 4.8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that the satellite arrives after the emergency call, whose time no artifact here records, and that human report is therefore the primary channel — a channel this repository has never measured. The system is built to the narrow statement rather than its converse. The survey evidence at the other end is firmer, and is the measured reason the outputs are a sheet a village head can read aloud and an origin-level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The same discipline stopped an input before it reached this paper: a designated-site subset labelled with a county name was refused when its points proved to lie outside that county's own study box — a label checked against the geometry it claims rather than against a code table. It was re-cut on the right administrative code and only then used as the inventory Section 6 reports.</w:t>
      </w:r>
    </w:p>
    <w:p>
      <w:r>
        <w:rPr>
          <w:b/>
        </w:rPr>
        <w:t>What outside readers asked first.</w:t>
      </w:r>
      <w:r>
        <w:t xml:space="preserve"> Three domain researchers replied in writing to the author in September 2026; their comments are design feedback rather than data. One of them put two questions that nothing measured here answers: whether prioritising rescue need by age alone stays appropriate in an ageing population, and whether these results are usable without modelling how forest-fire suppression and residential emergency response divide roles during a fire.</w:t>
      </w:r>
    </w:p>
    <w:p>
      <w:r>
        <w:rPr>
          <w:i/>
          <w:color w:val="B42318"/>
        </w:rPr>
        <w:t>[GAP: the practitioner consultations — a fire-service duty officer, a village head and a social worker — have not happened; they are design feedback rather than collected data, and any quotation from them needs the author's consent handling first]</w:t>
      </w:r>
    </w:p>
    <w:p>
      <w:pPr>
        <w:pStyle w:val="Heading1"/>
      </w:pPr>
      <w:r>
        <w:t>6. Limitations</w:t>
      </w:r>
    </w:p>
    <w:p>
      <w:r>
        <w:rPr>
          <w:b/>
        </w:rPr>
        <w:t>The routing result is graded against the predicted field, not against observed burn.</w:t>
      </w:r>
      <w:r>
        <w:t xml:space="preserve"> It is the objection we would raise first.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Every control here perturbs the predicted field, so none admits external truth. </w:t>
      </w:r>
      <w:r>
        <w:rPr>
          <w:i/>
          <w:color w:val="B42318"/>
        </w:rPr>
        <w:t>[GAP: settling this needs a third routing pass over the same 458 origins on the observed FIRMS footprint, reporting how many of the 42 fire-blind routes intersect observed burn inside the walker's arrival window. That field is committed on the same grid, on its own clock, an observation and not the fire]</w:t>
      </w:r>
    </w:p>
    <w:p>
      <w:r>
        <w:rPr>
          <w:b/>
        </w:rPr>
        <w:t>The counterfactual was weak, and the stronger one is run on only one region.</w:t>
      </w:r>
      <w:r>
        <w:t xml:space="preserve"> Every contrast in Sections 4.3 and 4.4 is against a fire-blind baseline. Section 4.5 replaces it on Uiseong-Andong with a present-perimeter opponent and most of that region's contrast does not survive the substitution. The same substitution has not been made on the canonical Yeongdeok field, so the 42 of Section 4.3 remains a fire-blind contrast and must be read as one; and even where the substitution has been made, the residual difference is not reported, because two defensible builds of that opponent disagree about it.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needs the raw acquisition bundle the repository does not distribute; this is the experiment most likely to move the 42-origin result]</w:t>
      </w:r>
    </w:p>
    <w:p>
      <w:r>
        <w:rPr>
          <w:b/>
        </w:rPr>
        <w:t>Coverage</w:t>
      </w:r>
      <w:r>
        <w:t>: every absolute Yeongdeok rate rests on a walk network holding 32.6 % of that fire's predicted core (Section 4.3).</w:t>
      </w:r>
    </w:p>
    <w:p>
      <w:r>
        <w:rPr>
          <w:b/>
        </w:rPr>
        <w:t>Origins are not households, and no interval attaches to a share of them.</w:t>
      </w:r>
      <w:r>
        <w:t xml:space="preserve"> They are walk-graph nodes at a fixed stride, so their distribution reflects road-network structure. They are also not a probability sample: the 458 are a deterministic systematic subsample — every 18th of the walk graph's 8,443 nodes, then filtered by the hazard at time zero and by a band around the predicted core — so no design-based standard error is defined for the shares in Sections 4.3 and 4.4, and neighbouring origins are not independent.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all divide out of the paired contrasts.</w:t>
      </w:r>
    </w:p>
    <w:p>
      <w:r>
        <w:rPr>
          <w:b/>
        </w:rPr>
        <w:t>A pedestrian is not confined to the graph, but this router is.</w:t>
      </w:r>
      <w:r>
        <w:t xml:space="preserve"> A walker can cross a field or a yard where a vehicle cannot, so a shortest-path formulation borrowed from road-bound traffic may not transfer cleanly on foot — one of the written comments of Section 5. Every route here stays on mapped ways, and whether that makes the reported failures pessimistic or optimistic is unmeasured.</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Every refuge in this paper is an OpenStreetMap point, and a designated list now exists that no result here uses.</w:t>
      </w:r>
      <w:r>
        <w:t xml:space="preserve"> An agency-designated inventory for Yeongdeok-gun entered the repository from the 주소정보누리집 address portal of Korea's Ministry of the Interior and Safety: on the 2025-03-01 cut, 64 earthquake outdoor evacuation sites, 92 tsunami emergency evacuation sites and 17 cooling centres; on the 2024-01-24 cut, 55 public-service agency points, four of them fire-service and six police — candidate depots where Table 2 puts OpenStreetMap depot density at 0.45 per 100 km². None is a </w:t>
      </w:r>
      <w:r>
        <w:rPr>
          <w:i/>
        </w:rPr>
        <w:t>wildfire</w:t>
      </w:r>
      <w:r>
        <w:t xml:space="preserve"> refuge: the designated categories here are earthquake, tsunami and heat, and this subset is seven of the portal's point layers rather than its whole taxonomy, so it narrows the question rather than answering it. The two sets are also not on one extent and must not be differenced as they stand: the designated counts are for the whole county, between 77 % and 84 % of each layer falling inside the canonical walk box, while the router's refuges are counted inside that box alone. </w:t>
      </w:r>
      <w:r>
        <w:rPr>
          <w:i/>
          <w:color w:val="B42318"/>
        </w:rPr>
        <w:t>[GAP: the router's 50 OpenStreetMap refuge points have not been compared against that designated list, so how far the routing results depend on refuge provenance is unmeasured. Both inputs are committed and the comparison is runnable now: clip the designated sites to the walk box, re-snap the refuges, and re-run the same 458 origins on the same canonical field]</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No entry names a report time and none says what the field is, so the delays can be read against neither the true ignition nor the emergency call and the sign of the error is unknown in both directions. One record of the 신고접수시각 for one of these fires would settle it]</w:t>
      </w:r>
    </w:p>
    <w:p>
      <w:r>
        <w:rPr>
          <w:b/>
        </w:rPr>
        <w:t>Operational status.</w:t>
      </w:r>
      <w:r>
        <w:t xml:space="preserve"> No trigger has ever fired on a live detection and the messaging layer is a dry run: the SMS path is simulated, private cell-broadcast origination is not authorized in Korea, and the approval-gated email channel has never completed a verification send. Nothing here reached a real resident or a real crew.</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decisions measurably, as a paired contrast — 42 of 458 scanned origins on the canonical Yeongdeok field reach a refuge only under the forecast-aware policy, on a network covering 32.6 % of that fire's predicted core. That contrast is against a fire-blind baseline, and Section 4.5 shows on a second region that a policy which refuses only where the fire is now recovers most of it — so the claim is about coupling a hazard field into the routing at all, and the part attributable to the forecast is smaller and, on the evidence here, not yet a single number.</w:t>
      </w:r>
    </w:p>
    <w:p>
      <w:r>
        <w:t>The rest of the contribution is the instrument,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own design notes had drawn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Every measured number is registered in </w:t>
      </w:r>
      <w:r>
        <w:rPr>
          <w:rFonts w:ascii="Consolas" w:hAnsi="Consolas"/>
          <w:sz w:val="19"/>
        </w:rPr>
        <w:t>docs/NUMBERS.json</w:t>
      </w:r>
      <w:r>
        <w:t xml:space="preserve"> and re-derived from its artifact by </w:t>
      </w:r>
      <w:r>
        <w:rPr>
          <w:rFonts w:ascii="Consolas" w:hAnsi="Consolas"/>
          <w:sz w:val="19"/>
        </w:rPr>
        <w:t>make verify</w:t>
      </w:r>
      <w:r>
        <w:t xml:space="preserve"> (Section 3.5); externally sourced figures are attributed in place with agency, date and scope. </w:t>
      </w:r>
      <w:r>
        <w:rPr>
          <w:rFonts w:ascii="Consolas" w:hAnsi="Consolas"/>
          <w:sz w:val="19"/>
        </w:rPr>
        <w:t>references.bib</w:t>
      </w:r>
      <w:r>
        <w:t xml:space="preserve"> marks each work known only from a catalogue record. Figures are regenerated from committed artifacts by </w:t>
      </w:r>
      <w:r>
        <w:rPr>
          <w:rFonts w:ascii="Consolas" w:hAnsi="Consolas"/>
          <w:sz w:val="19"/>
        </w:rPr>
        <w:t>paper/make_figures.py</w:t>
      </w:r>
      <w:r>
        <w:t xml:space="preserve"> and none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National Institute of Forest Science (국립산림과학원) "AI 기반 산불확산예측시스템 사용자가이드 [User guide to the AI-based wildfire spread prediction system]." 연구자료 제1201호 (Research Material No. 1201), Korea Forest Service. Cited from the publisher's catalogue record; the guide itself was not retrieved, 2026. https://book.nifos.go.kr/library/10130/contents/7732761</w:t>
      </w:r>
    </w:p>
    <w:p>
      <w:pPr>
        <w:ind w:left="454" w:hanging="454"/>
      </w:pPr>
      <w:r>
        <w:rPr>
          <w:sz w:val="19"/>
        </w:rPr>
        <w:t>[11] The Kyunghyang Shinmun (경향신문) "산불 경로·피해 지역, 미리 예측해 전파한다 — 경기도, AI 예측 모델 자체 개발." 경향신문, 30 March 2026, 2026. https://www.khan.co.kr/article/202603301116001/</w:t>
      </w:r>
    </w:p>
    <w:p>
      <w:pPr>
        <w:ind w:left="454" w:hanging="454"/>
      </w:pPr>
      <w:r>
        <w:rPr>
          <w:sz w:val="19"/>
        </w:rPr>
        <w:t>[12] Cova, Thomas J. and Johnson, Justin P. "A network flow model for lane-based evacuation routing." Transportation Research Part A: Policy and Practice, 2003. https://doi.org/10.1016/S0965-8564(03)00007-7</w:t>
      </w:r>
    </w:p>
    <w:p>
      <w:pPr>
        <w:ind w:left="454" w:hanging="454"/>
      </w:pPr>
      <w:r>
        <w:rPr>
          <w:sz w:val="19"/>
        </w:rPr>
        <w:t>[13]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[14]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[15]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[16] Li, Dapeng and Cova, Thomas J. and Dennison, Philip E. "Using reverse geocoding to identify prominent wildfire evacuation trigger points." Applied Geography, 2017. https://doi.org/10.1016/j.apgeog.2017.05.008</w:t>
      </w:r>
    </w:p>
    <w:p>
      <w:pPr>
        <w:ind w:left="454" w:hanging="454"/>
      </w:pPr>
      <w:r>
        <w:rPr>
          <w:sz w:val="19"/>
        </w:rPr>
        <w:t>[17]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[18]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[19]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[20]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[21] Dozier, Jeff "A method for satellite identification of surface temperature fields of subpixel resolution." Remote Sensing of Environment, 1981. https://doi.org/10.1016/0034-4257(81)90021-3</w:t>
      </w:r>
    </w:p>
    <w:p>
      <w:pPr>
        <w:ind w:left="454" w:hanging="454"/>
      </w:pPr>
      <w:r>
        <w:rPr>
          <w:sz w:val="19"/>
        </w:rPr>
        <w:t>[22]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[23] Studenski, Stephanie and Perera, Subashan and Patel, Kushang and others "Gait speed and survival in older adults." JAMA, 2011. https://pubmed.ncbi.nlm.nih.gov/21205966/</w:t>
      </w:r>
    </w:p>
    <w:p>
      <w:pPr>
        <w:ind w:left="454" w:hanging="454"/>
      </w:pPr>
      <w:r>
        <w:rPr>
          <w:sz w:val="19"/>
        </w:rPr>
        <w:t>[24] NASA "Fire Information for Resource Management System (FIRMS)." 2026. https://firms.modaps.eosdis.nasa.gov/</w:t>
      </w:r>
    </w:p>
    <w:p>
      <w:pPr>
        <w:ind w:left="454" w:hanging="454"/>
      </w:pPr>
      <w:r>
        <w:rPr>
          <w:sz w:val="19"/>
        </w:rPr>
        <w:t>[25] Hersbach, Hans and others "ERA5 hourly data on single levels from 1940 to present." Copernicus Climate Change Service (C3S) Climate Data Store, 2023. https://cds.climate.copernicus.eu/datasets/reanalysis-era5-single-levels</w:t>
      </w:r>
    </w:p>
    <w:p>
      <w:pPr>
        <w:ind w:left="454" w:hanging="454"/>
      </w:pPr>
      <w:r>
        <w:rPr>
          <w:sz w:val="19"/>
        </w:rPr>
        <w:t>[26] Farr, Tom G. and Rosen, Paul A. and Caro, Edward and others "The Shuttle Radar Topography Mission." Reviews of Geophysics, 2007. https://doi.org/10.1029/2005RG000183</w:t>
      </w:r>
    </w:p>
    <w:p>
      <w:pPr>
        <w:ind w:left="454" w:hanging="454"/>
      </w:pPr>
      <w:r>
        <w:rPr>
          <w:sz w:val="19"/>
        </w:rPr>
        <w:t>[27] ESA WorldCover consortium "ESA WorldCover: global land cover at 10 m from Sentinel-1 and Sentinel-2." 2021. https://esa-worldcover.org/en</w:t>
      </w:r>
    </w:p>
    <w:p>
      <w:pPr>
        <w:ind w:left="454" w:hanging="454"/>
      </w:pPr>
      <w:r>
        <w:rPr>
          <w:sz w:val="19"/>
        </w:rPr>
        <w:t>[28] Boeing, Geoff "OSMnx: new methods for acquiring, constructing, analyzing, and visualizing complex street networks." Computers, Environment and Urban Systems, 2017. https://doi.org/10.1016/j.compenvurbsys.2017.05.004</w:t>
      </w:r>
    </w:p>
    <w:p>
      <w:pPr>
        <w:ind w:left="454" w:hanging="454"/>
      </w:pPr>
      <w:r>
        <w:rPr>
          <w:sz w:val="19"/>
        </w:rPr>
        <w:t>[29]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