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sz w:val="40"/>
        </w:rPr>
        <w:t>Forecast-conditioned, time-expanded routing for household-level wildfire evacuation and rescue in rural Korea</w:t>
      </w:r>
    </w:p>
    <w:p>
      <w:pPr>
        <w:jc w:val="center"/>
      </w:pPr>
      <w:r>
        <w:rPr>
          <w:sz w:val="26"/>
        </w:rPr>
        <w:t>Siyeong Park (박시영)</w:t>
      </w:r>
    </w:p>
    <w:p>
      <w:pPr>
        <w:jc w:val="center"/>
      </w:pPr>
      <w:r>
        <w:rPr>
          <w:sz w:val="22"/>
        </w:rPr>
        <w:t>Shanghai American School Puxi</w:t>
      </w:r>
    </w:p>
    <w:p>
      <w:pPr>
        <w:jc w:val="center"/>
      </w:pPr>
      <w:r>
        <w:rPr>
          <w:i/>
          <w:sz w:val="19"/>
        </w:rPr>
        <w:t>Manuscript draft, built 2026-09-03 from the repository's committed artifacts. Not for submission before the Korea Code Fair awards (December 2026).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rPr>
          <w:i/>
          <w:color w:val="B42318"/>
        </w:rPr>
        <w:t>[GAP: abstract to be written from registered numbers once Results 4.1–4.4 are final; the student rewrites it in their own words before any submission]</w:t>
      </w:r>
    </w:p>
    <w:p>
      <w:pPr>
        <w:pStyle w:val="Heading1"/>
      </w:pPr>
      <w:r>
        <w:t>1. Introduction</w:t>
      </w:r>
    </w:p>
    <w:p>
      <w:r>
        <w:t xml:space="preserve">The March 2025 Gyeongbuk wildfires killed 27 people, most of them residents in their sixties to eighties, in a region where satellite detection and provincial fire-danger forecasts were already operating </w:t>
      </w:r>
      <w:r>
        <w:t>[1]</w:t>
      </w:r>
      <w:r>
        <w:t>. The failure was not detection. It was the last kilometre: telling a specific household which way to walk, and telling a rescue crew which homes it can still reach and until when. Korea's national forecast answers "how likely is a fire in this district"; a household needs "where will this fire be in the next hours, and is my road still open".</w:t>
      </w:r>
    </w:p>
    <w:p>
      <w:r>
        <w:t>This paper describes WildfireGuardian, a system that couples a data-driven wildfire-spread model to household-level evacuation and rescue routing, evaluated on six real Korean fires with the fire held out, and reports its results through an auditable registry in which every number is re-derived from a committed artifact. The contribution is not the spread model, which is deliberately simple, but (i) the coupling of an event-held-out, calibrated ignition-probability field into a time-expanded pedestrian router with a rescue-ingress term and operator-facing outputs, and (ii) the evaluation design for a six-fire dataset, including the claims that were withdrawn along the way.</w:t>
      </w:r>
    </w:p>
    <w:p>
      <w:pPr>
        <w:pStyle w:val="Heading1"/>
      </w:pPr>
      <w:r>
        <w:t>2. Related work</w:t>
      </w:r>
    </w:p>
    <w:p>
      <w:r>
        <w:t xml:space="preserve">Learned next-day fire-spread models are trained on hundreds of fires on other continents </w:t>
      </w:r>
      <w:r>
        <w:t>[2]</w:t>
      </w:r>
      <w:r>
        <w:t xml:space="preserve">; six Korean fires cannot compete on that axis and this paper does not try. </w:t>
      </w:r>
      <w:r>
        <w:rPr>
          <w:i/>
          <w:color w:val="B42318"/>
        </w:rPr>
        <w:t>[GAP: related-work table (WFG-026): time-expanded evacuation routing, WUI evacuation simulation, shelter placement, geostationary detection latency; every entry opened at its URL before it is cited]</w:t>
      </w:r>
    </w:p>
    <w:p>
      <w:pPr>
        <w:pStyle w:val="Heading1"/>
      </w:pPr>
      <w:r>
        <w:t>3. Data and methods</w:t>
      </w:r>
    </w:p>
    <w:p>
      <w:pPr>
        <w:pStyle w:val="Heading2"/>
      </w:pPr>
      <w:r>
        <w:t>3.1 Study fires and public inputs</w:t>
      </w:r>
    </w:p>
    <w:p>
      <w:r>
        <w:t xml:space="preserve">Detections from NASA FIRMS </w:t>
      </w:r>
      <w:r>
        <w:t>[3]</w:t>
      </w:r>
      <w:r>
        <w:t xml:space="preserve">, reanalysis weather from ERA5 </w:t>
      </w:r>
      <w:r>
        <w:t>[4]</w:t>
      </w:r>
      <w:r>
        <w:t>, terrain from SRTM, land cover from ESA WorldCover and road networks and building footprints from OpenStreetMap. Six fires: Gangneung 2023, Hongseong 2023, Miryang 2022, Uiseong-Andong 2025, Uljin-Samcheok 2022 and Yeongdeok 2025.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17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sys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7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1. </w:t>
      </w:r>
      <w:r>
        <w:rPr>
          <w:sz w:val="19"/>
        </w:rPr>
        <w:t>System overview. Public inputs feed a per-cell ignition-probability model; its time-sliced hazard field drives a time-expanded pedestrian router and a rescue-ingress calculation; the outputs are operator documents. Every reported number is re-derived from its committed artifact by the registry gate.</w:t>
      </w:r>
    </w:p>
    <w:p>
      <w:pPr>
        <w:pStyle w:val="Heading2"/>
      </w:pPr>
      <w:r>
        <w:t>3.2 Spread model and evaluation protocol</w:t>
      </w:r>
    </w:p>
    <w:p>
      <w:r>
        <w:t>A gradient-boosted classifier predicts, for each grid cell, the probability of detection at the next satellite overpass. Evaluation is leave-one-fire-out: the model is trained on five fires and scored on the sixth, so no cell of the held-out fire is seen in training. The mean of the six held-out ROC-AUC values is reported as the generalisation figure; the pooled out-of-fold AUC is reported only as such.</w:t>
      </w:r>
    </w:p>
    <w:p>
      <w:pPr>
        <w:pStyle w:val="Heading2"/>
      </w:pPr>
      <w:r>
        <w:t>3.3 Time-expanded routing and rescue ingress</w:t>
      </w:r>
    </w:p>
    <w:p>
      <w:r>
        <w:rPr>
          <w:i/>
          <w:color w:val="B42318"/>
        </w:rPr>
        <w:t>[GAP: Methods 3.3 prose from docs/rescue_routing.md, docs/routing_limitations.md and docs/decision_shift.md: edge costs from the time-sliced field, the closure time of a corridor, the rescue-ingress survival term, and the three-way partition of origins]</w:t>
      </w:r>
    </w:p>
    <w:p>
      <w:pPr>
        <w:pStyle w:val="Heading2"/>
      </w:pPr>
      <w:r>
        <w:t>3.4 Sensitivity and controls</w:t>
      </w:r>
    </w:p>
    <w:p>
      <w:r>
        <w:rPr>
          <w:i/>
          <w:color w:val="B42318"/>
        </w:rPr>
        <w:t>[GAP: walking-speed and pre-movement-delay sweeps (WFG-025) and the network-drift control; until then only the committed forecast-robustness and dilation perturbation results are cited]</w:t>
      </w:r>
    </w:p>
    <w:p>
      <w:pPr>
        <w:pStyle w:val="Heading1"/>
      </w:pPr>
      <w:r>
        <w:t>4. Results</w:t>
      </w:r>
    </w:p>
    <w:p>
      <w:pPr>
        <w:pStyle w:val="Heading2"/>
      </w:pPr>
      <w:r>
        <w:t>4.1 Held-out spread skill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8914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lofo_a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1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9"/>
        </w:rPr>
        <w:t xml:space="preserve">Figure 2. </w:t>
      </w:r>
      <w:r>
        <w:rPr>
          <w:sz w:val="19"/>
        </w:rPr>
        <w:t>Held-out ROC-AUC per fire under leave-one-fire-out cross-validation. The dashed line is the mean of folds; the dotted line is the pooled out-of-fold AUC, a different quantity.</w:t>
      </w:r>
    </w:p>
    <w:p>
      <w:r>
        <w:rPr>
          <w:i/>
          <w:color w:val="B42318"/>
        </w:rPr>
        <w:t>[GAP: Results 4.1 prose with the registered mean-of-folds and pooled values and the small-fold caveat for Gangneung 2023]</w:t>
      </w:r>
    </w:p>
    <w:p>
      <w:pPr>
        <w:pStyle w:val="Heading2"/>
      </w:pPr>
      <w:r>
        <w:t>4.2 What the forecast changes about who can walk out</w:t>
      </w:r>
    </w:p>
    <w:p>
      <w:r>
        <w:rPr>
          <w:i/>
          <w:color w:val="B42318"/>
        </w:rPr>
        <w:t>[GAP: Results 4.2 from real_roads_real_hazard_canonical.json and docs/decision_shift.md: the three-way partition on the canonical Yeongdeok field with the walk-coverage caveat, and the three-region table]</w:t>
      </w:r>
    </w:p>
    <w:p>
      <w:pPr>
        <w:pStyle w:val="Heading2"/>
      </w:pPr>
      <w:r>
        <w:t>4.3 Operating point</w:t>
      </w:r>
    </w:p>
    <w:p>
      <w:r>
        <w:rPr>
          <w:i/>
          <w:color w:val="B42318"/>
        </w:rPr>
        <w:t>[GAP: operating-point table from data/processed/operating_point/ once WFG-019's figure is drawn in paper style]</w:t>
      </w:r>
    </w:p>
    <w:p>
      <w:pPr>
        <w:pStyle w:val="Heading2"/>
      </w:pPr>
      <w:r>
        <w:t>4.4 Rescue ingress and dispatch ordering</w:t>
      </w:r>
    </w:p>
    <w:p>
      <w:r>
        <w:rPr>
          <w:i/>
          <w:color w:val="B42318"/>
        </w:rPr>
        <w:t>[GAP: Results (dispatch ordering) from docs/dispatch_ordering.md and docs/ordering_boundary.md, including the negative result that the deadline-first ordering does not beat the alternatives]</w:t>
      </w:r>
    </w:p>
    <w:p>
      <w:pPr>
        <w:pStyle w:val="Heading2"/>
      </w:pPr>
      <w:r>
        <w:t>4.5 Leak-free fold and hindsight oracle</w:t>
      </w:r>
    </w:p>
    <w:p>
      <w:r>
        <w:rPr>
          <w:i/>
          <w:color w:val="B42318"/>
        </w:rPr>
        <w:t>[GAP: leak-free Yeongdeok fold and hindsight-oracle arm (WFG-032)]</w:t>
      </w:r>
    </w:p>
    <w:p>
      <w:pPr>
        <w:pStyle w:val="Heading1"/>
      </w:pPr>
      <w:r>
        <w:t>5. Discussion</w:t>
      </w:r>
    </w:p>
    <w:p>
      <w:r>
        <w:rPr>
          <w:i/>
          <w:color w:val="B42318"/>
        </w:rPr>
        <w:t>[GAP: discussion: what the coupling adds over a spread map alone; why n = 6 forbids a threshold guarantee; the withdrawn severity-versus-direction claim; the 32.6 % coverage caveat; expert consultation quotes with consent (NH-009)]</w:t>
      </w:r>
    </w:p>
    <w:p>
      <w:pPr>
        <w:pStyle w:val="Heading1"/>
      </w:pPr>
      <w:r>
        <w:t>6. Limitations</w:t>
      </w:r>
    </w:p>
    <w:p>
      <w:r>
        <w:rPr>
          <w:i/>
          <w:color w:val="B42318"/>
        </w:rPr>
        <w:t>[GAP: limitations from docs/routing_limitations.md and the model card: ERA5 resolution, six fires, sampled origins rather than households, OSM refuge semantics, no live weather]</w:t>
      </w:r>
    </w:p>
    <w:p>
      <w:pPr>
        <w:pStyle w:val="Heading1"/>
      </w:pPr>
      <w:r>
        <w:t>7. Conclusion</w:t>
      </w:r>
    </w:p>
    <w:p>
      <w:r>
        <w:rPr>
          <w:i/>
          <w:color w:val="B42318"/>
        </w:rPr>
        <w:t>[GAP: conclusion after 4.1–4.4 are final]</w:t>
      </w:r>
    </w:p>
    <w:p>
      <w:pPr>
        <w:pStyle w:val="Heading1"/>
      </w:pPr>
      <w:r>
        <w:t>Data and code availability</w:t>
      </w:r>
    </w:p>
    <w:p>
      <w:r>
        <w:t xml:space="preserve">The code, committed artifacts, evidence registry and this manuscript are at https://github.com/Sparkxt-0318/wildfireguardian. Raw geospatial inputs are public and are re-acquired by the scripts in </w:t>
      </w:r>
      <w:r>
        <w:rPr>
          <w:rFonts w:ascii="Consolas" w:hAnsi="Consolas"/>
          <w:sz w:val="19"/>
        </w:rPr>
        <w:t>scripts/</w:t>
      </w:r>
      <w:r>
        <w:t>; the repository distributes no raw data.</w:t>
      </w:r>
    </w:p>
    <w:p>
      <w:pPr>
        <w:pStyle w:val="Heading1"/>
      </w:pPr>
      <w:r>
        <w:t>References</w:t>
      </w:r>
    </w:p>
    <w:p>
      <w:pPr>
        <w:ind w:left="454" w:hanging="454"/>
      </w:pPr>
      <w:r>
        <w:rPr>
          <w:sz w:val="19"/>
        </w:rPr>
        <w:t>[1] World Weather Attribution "Climate change made weather conditions leading to deadly South Korean wildfires about twice as likely." 2025. https://www.worldweatherattribution.org/climate-change-made-weather-conditions-leading-to-deadly-south-korean-wildfires-about-twice-as-likely/</w:t>
      </w:r>
    </w:p>
    <w:p>
      <w:pPr>
        <w:ind w:left="454" w:hanging="454"/>
      </w:pPr>
      <w:r>
        <w:rPr>
          <w:sz w:val="19"/>
        </w:rPr>
        <w:t>[2] Gerard, Sebastian and Zhao, Yu and Sullivan, Josephine "WildfireSpreadTS: A dataset of multi-modal time series for wildfire spread prediction." arXiv:2502.12003, 2025. https://arxiv.org/abs/2502.12003</w:t>
      </w:r>
    </w:p>
    <w:p>
      <w:pPr>
        <w:ind w:left="454" w:hanging="454"/>
      </w:pPr>
      <w:r>
        <w:rPr>
          <w:sz w:val="19"/>
        </w:rPr>
        <w:t>[3] NASA "Fire Information for Resource Management System (FIRMS)." 2026. https://firms.modaps.eosdis.nasa.gov/</w:t>
      </w:r>
    </w:p>
    <w:p>
      <w:pPr>
        <w:ind w:left="454" w:hanging="454"/>
      </w:pPr>
      <w:r>
        <w:rPr>
          <w:sz w:val="19"/>
        </w:rPr>
        <w:t>[4] Hersbach, Hans and others "ERA5 hourly data on single levels from 1940 to present." Copernicus Climate Change Service (C3S) Climate Data Store, 2023. https://cds.climate.copernicus.eu/datasets/reanalysis-era5-single-levels</w:t>
      </w:r>
    </w:p>
    <w:sectPr w:rsidR="00FC693F" w:rsidRPr="0006063C" w:rsidSect="00034616">
      <w:pgSz w:w="11906" w:h="16838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1F2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1F2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1F2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