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44"/>
        </w:rPr>
        <w:t>ZERO-ID: A Hardware-Bound Zero-Knowledge Protocol</w:t>
        <w:br/>
        <w:t>with Constant-Time Decentralized Revocation</w:t>
        <w:br/>
        <w:t>for Sovereign Identity Verification</w:t>
      </w:r>
    </w:p>
    <w:p>
      <w:pPr>
        <w:spacing w:before="0" w:after="40"/>
        <w:jc w:val="center"/>
      </w:pPr>
      <w:r>
        <w:rPr>
          <w:rFonts w:ascii="Times New Roman" w:hAnsi="Times New Roman"/>
          <w:color w:val="000000"/>
          <w:sz w:val="21"/>
        </w:rPr>
        <w:t>Suyash</w:t>
      </w:r>
    </w:p>
    <w:p>
      <w:pPr>
        <w:spacing w:before="0" w:after="40"/>
        <w:jc w:val="center"/>
      </w:pPr>
      <w:r>
        <w:rPr>
          <w:rFonts w:ascii="Times New Roman" w:hAnsi="Times New Roman"/>
          <w:i/>
          <w:color w:val="000000"/>
          <w:sz w:val="21"/>
        </w:rPr>
        <w:t>Department of Computer Science and Engineering</w:t>
      </w:r>
    </w:p>
    <w:p>
      <w:pPr>
        <w:spacing w:before="0" w:after="40"/>
        <w:jc w:val="center"/>
      </w:pPr>
      <w:r>
        <w:rPr>
          <w:rFonts w:ascii="Times New Roman" w:hAnsi="Times New Roman"/>
          <w:i/>
          <w:color w:val="000000"/>
          <w:sz w:val="21"/>
        </w:rPr>
        <w:t>Advanced Cryptography &amp; Distributed Systems Laboratory</w:t>
      </w:r>
    </w:p>
    <w:p>
      <w:pPr>
        <w:spacing w:before="0" w:after="40"/>
        <w:jc w:val="center"/>
      </w:pPr>
      <w:r>
        <w:rPr>
          <w:rFonts w:ascii="Times New Roman" w:hAnsi="Times New Roman"/>
          <w:i/>
          <w:color w:val="000000"/>
          <w:sz w:val="21"/>
        </w:rPr>
        <w:t>Institute of Engineering and Technology</w:t>
      </w:r>
    </w:p>
    <w:p>
      <w:pPr>
        <w:spacing w:before="0" w:after="40"/>
        <w:jc w:val="center"/>
      </w:pPr>
      <w:r>
        <w:rPr>
          <w:rFonts w:ascii="Times New Roman" w:hAnsi="Times New Roman"/>
          <w:color w:val="000000"/>
          <w:sz w:val="21"/>
        </w:rPr>
        <w:t>Email: suyash@zeroid.dev</w:t>
      </w:r>
    </w:p>
    <w:p>
      <w:pPr>
        <w:spacing w:before="240" w:after="160" w:line="240" w:lineRule="auto"/>
        <w:ind w:firstLine="360"/>
        <w:jc w:val="both"/>
      </w:pPr>
      <w:r>
        <w:rPr>
          <w:rFonts w:ascii="Times New Roman" w:hAnsi="Times New Roman"/>
          <w:b/>
          <w:i/>
          <w:color w:val="000000"/>
          <w:sz w:val="18"/>
        </w:rPr>
        <w:t>Abstract—</w:t>
      </w:r>
      <w:r>
        <w:rPr>
          <w:rFonts w:ascii="Times New Roman" w:hAnsi="Times New Roman"/>
          <w:i/>
          <w:color w:val="000000"/>
          <w:sz w:val="18"/>
        </w:rPr>
        <w:t>Centralized storage of Personally Identifiable Information (PII) during Know Your Customer (KYC) verification creates catastrophic data breach exposure and severe statutory liabilities under frameworks such as India's Digital Personal Data Protection (DPDP) Act 2023 and the EU General Data Protection Regulation (GDPR). While Zero-Knowledge Proofs (ZKPs) theoretically enable selective attribute verification without raw data disclosure, existing implementations suffer from two critical architectural shortcomings: (i) the proof-forwarding vulnerability, wherein detached cryptographic proof strings can be trivially shared among unauthorized entities (Sybil replay), and (ii) logarithmic-time O(log N) accumulator revocation bottlenecks that incur prohibitive settlement latency and transaction overhead on Layer-1 blockchains. This paper presents ZERO-ID, a privacy-preserving systems architecture that synergistically unifies client-side Groth16 zk-SNARKs over the BN254 pairing-friendly elliptic curve, platform hardware security enclaves via W3C WebAuthn/FIDO2 parameter hash-chaining, and Algorand Layer-1 flat key-value Box Storage. We mathematically bind zero-knowledge proof points directly to non-exportable hardware-isolated ECDSA-P256 private keys, reducing Sybil attacks to the existential unforgeability of the physical enclave. Furthermore, by replacing Sparse Merkle Tree accumulators with flat on-chain key-value indexing, ZERO-ID achieves constant-time O(1) state revocation with deterministic 3.80-second block finality. Experimental benchmarking demonstrates a 128-byte compressed proof payload (256-byte uncompressed) compatible with standard QR Version 4 optical scanning, sub-1.5-second client-side WebAssembly proving time, and sub-4-millisecond on-chain verification via native bn254_pairing opcodes, while completely eliminating verifier-side PII retention.</w:t>
      </w:r>
    </w:p>
    <w:p>
      <w:pPr>
        <w:spacing w:before="80" w:after="240"/>
        <w:ind w:firstLine="360"/>
        <w:jc w:val="both"/>
      </w:pPr>
      <w:r>
        <w:rPr>
          <w:rFonts w:ascii="Times New Roman" w:hAnsi="Times New Roman"/>
          <w:b/>
          <w:i/>
          <w:color w:val="000000"/>
          <w:sz w:val="18"/>
        </w:rPr>
        <w:t>Keywords—</w:t>
      </w:r>
      <w:r>
        <w:rPr>
          <w:rFonts w:ascii="Times New Roman" w:hAnsi="Times New Roman"/>
          <w:i/>
          <w:color w:val="000000"/>
          <w:sz w:val="18"/>
        </w:rPr>
        <w:t>zero-knowledge proofs, digital identity, hardware security enclave, WebAuthn, FIDO2, Algorand, blockchain, Groth16, zk-SNARK, privacy-preserving authentication, credential revocation</w:t>
      </w:r>
    </w:p>
    <w:p>
      <w:pPr>
        <w:keepNext/>
        <w:spacing w:before="240" w:after="120"/>
        <w:jc w:val="center"/>
      </w:pPr>
      <w:r>
        <w:rPr>
          <w:rFonts w:ascii="Times New Roman" w:hAnsi="Times New Roman"/>
          <w:b/>
          <w:color w:val="000000"/>
          <w:sz w:val="20"/>
        </w:rPr>
        <w:t>I. INTRODUCTION</w:t>
      </w:r>
    </w:p>
    <w:p>
      <w:pPr>
        <w:spacing w:before="0" w:after="80" w:line="240" w:lineRule="auto"/>
        <w:ind w:firstLine="360"/>
        <w:jc w:val="both"/>
      </w:pPr>
      <w:r>
        <w:rPr>
          <w:rFonts w:ascii="Times New Roman" w:hAnsi="Times New Roman"/>
          <w:color w:val="000000"/>
          <w:sz w:val="20"/>
        </w:rPr>
        <w:t>Contemporary digital identity verification systems remain anchored in a fundamentally insecure architectural premise: to verify an isolated attribute about a natural person (e.g., legal adulthood or geographic residency), the relying party must ingest, transmit, and persistently archive the subject's unredacted government identity dossier. In India, the Unique Identification Authority of India (UIDAI) has issued over 1.4 billion Aadhaar credentials [1]. Under traditional paperless or digital KYC procedures, complete photographic and demographic envelopes are duplicated across thousands of commercial databases spanning banking, telecommunications, and hospitality sectors.</w:t>
      </w:r>
    </w:p>
    <w:p>
      <w:pPr>
        <w:spacing w:before="0" w:after="80" w:line="240" w:lineRule="auto"/>
        <w:ind w:firstLine="360"/>
        <w:jc w:val="both"/>
      </w:pPr>
      <w:r>
        <w:rPr>
          <w:rFonts w:ascii="Times New Roman" w:hAnsi="Times New Roman"/>
          <w:color w:val="000000"/>
          <w:sz w:val="20"/>
        </w:rPr>
        <w:t>This architectural model creates centralized 'honeypots' that are routinely compromised by threat actors. A single incident in 2023 exposed over 815 million Indian citizens' records on illicit marketplaces [2]. In response, data privacy legislation has imposed severe statutory penalties. Section 33 of India's Digital Personal Data Protection (DPDP) Act 2023 mandates fines up to INR 250 Crores (approximately USD 30 million) for organizational failures to prevent data breaches [3], while Section 6(1) and Section 8(7) enforce strict data minimization and mandatory erasure upon purpose fulfillment. Consequently, storing raw identity data has evolved from an administrative asset into a critical enterprise liability.</w:t>
      </w:r>
    </w:p>
    <w:p>
      <w:pPr>
        <w:spacing w:before="0" w:after="80" w:line="240" w:lineRule="auto"/>
        <w:ind w:firstLine="360"/>
        <w:jc w:val="both"/>
      </w:pPr>
      <w:r>
        <w:rPr>
          <w:rFonts w:ascii="Times New Roman" w:hAnsi="Times New Roman"/>
          <w:color w:val="000000"/>
          <w:sz w:val="20"/>
        </w:rPr>
        <w:t>Zero-Knowledge Proofs (ZKPs), specifically Succinct Non-Interactive Arguments of Knowledge (zk-SNARKs) [4], [5], enable a prover to mathematically convince a verifier that a private witness satisfies a public arithmetic relation without disclosing any wire values. However, existing ZK-based identity protocols exhibit two fundamental limitations that prevent practical deployment at national scale:</w:t>
      </w:r>
    </w:p>
    <w:p>
      <w:pPr>
        <w:spacing w:before="0" w:after="80" w:line="240" w:lineRule="auto"/>
        <w:jc w:val="both"/>
      </w:pPr>
      <w:r>
        <w:rPr>
          <w:rFonts w:ascii="Times New Roman" w:hAnsi="Times New Roman"/>
          <w:color w:val="000000"/>
          <w:sz w:val="20"/>
        </w:rPr>
        <w:t>1) The Proof-Forwarding (Sybil Replay) Attack: Protocols such as Anon Aadhaar [6] and Sismo [7] produce detached, self-contained cryptographic proof objects. Once citizen Alice computes a valid proof confirming age ≥ 18, that proof payload is merely a JSON object. Alice can forward this payload via an arbitrary messaging channel to unauthorized party Bob, who presents it to a verifier. Existing ZK identity solutions lack native hardware entanglement, relying instead on proprietary biometric capture hardware (e.g., Worldcoin's USD 5,000+ specialized Orb scanners [8]) which introduces substantial logistical friction and centralized template custody concerns.</w:t>
      </w:r>
    </w:p>
    <w:p>
      <w:pPr>
        <w:spacing w:before="0" w:after="80" w:line="240" w:lineRule="auto"/>
        <w:jc w:val="both"/>
      </w:pPr>
      <w:r>
        <w:rPr>
          <w:rFonts w:ascii="Times New Roman" w:hAnsi="Times New Roman"/>
          <w:color w:val="000000"/>
          <w:sz w:val="20"/>
        </w:rPr>
        <w:t>2) The Logarithmic Revocation Bottleneck: Self-sovereign identity frameworks (e.g., Polygon ID and Iden3 [9]) manage credential validity through on-chain Sparse Merkle Tree (SMT) accumulators of depth d ∈ [20, 40]. Revoking a single credential necessitates computing O(d) hash updates, publishing a costly Layer-1 state root transition, and forcing all non-revoked users to re-evaluate membership witness paths. On Ethereum Layer-1, this process imposes 12–15 minute settlement latencies and volatile transaction gas fees ranging from USD 2 to USD 45 [10].</w:t>
      </w:r>
    </w:p>
    <w:p>
      <w:pPr>
        <w:spacing w:before="0" w:after="80" w:line="240" w:lineRule="auto"/>
        <w:ind w:firstLine="360"/>
        <w:jc w:val="both"/>
      </w:pPr>
      <w:r>
        <w:rPr>
          <w:rFonts w:ascii="Times New Roman" w:hAnsi="Times New Roman"/>
          <w:color w:val="000000"/>
          <w:sz w:val="20"/>
        </w:rPr>
        <w:t>To resolve both challenges simultaneously, this paper presents ZERO-ID, an end-to-end zero-knowledge identity architecture featuring three primary contributions:</w:t>
      </w:r>
    </w:p>
    <w:p>
      <w:pPr>
        <w:spacing w:before="0" w:after="80" w:line="240" w:lineRule="auto"/>
        <w:jc w:val="both"/>
      </w:pPr>
      <w:r>
        <w:rPr>
          <w:rFonts w:ascii="Times New Roman" w:hAnsi="Times New Roman"/>
          <w:color w:val="000000"/>
          <w:sz w:val="20"/>
        </w:rPr>
        <w:t>1) Hardware-Enclave Parameter Hash-Chaining: We introduce a protocol that computes a cryptographic digest of the exact Groth16 elliptic curve proof elements, Poseidon nullifier, timestamp, and relying party identifier, requiring this composite challenge to be signed inside a non-exportable hardware security enclave (Apple Secure Enclave, Android Titan M2, Windows TPM 2.0) via W3C WebAuthn [11]. This cryptographically entangles the ZK proof with a physical biometric gate, preventing proof forwarding.</w:t>
      </w:r>
    </w:p>
    <w:p>
      <w:pPr>
        <w:spacing w:before="0" w:after="80" w:line="240" w:lineRule="auto"/>
        <w:jc w:val="both"/>
      </w:pPr>
      <w:r>
        <w:rPr>
          <w:rFonts w:ascii="Times New Roman" w:hAnsi="Times New Roman"/>
          <w:color w:val="000000"/>
          <w:sz w:val="20"/>
        </w:rPr>
        <w:t>2) Constant-Time O(1) Decentralized Revocation: We design a flat key-value state indexing architecture deployed on Algorand Layer-1 Box Storage. By indexing a 1-byte revocation flag directly by the 32-byte Poseidon nullifier, revocation queries execute in O(1) constant time with deterministic 3.80-second block finality, bypassing Merkle tree recomputations entirely.</w:t>
      </w:r>
    </w:p>
    <w:p>
      <w:pPr>
        <w:spacing w:before="0" w:after="80" w:line="240" w:lineRule="auto"/>
        <w:jc w:val="both"/>
      </w:pPr>
      <w:r>
        <w:rPr>
          <w:rFonts w:ascii="Times New Roman" w:hAnsi="Times New Roman"/>
          <w:color w:val="000000"/>
          <w:sz w:val="20"/>
        </w:rPr>
        <w:t>3) Formal Security Analysis and Open Benchmark Harness: We provide formal reductions for anti-forwarding security under the EUF-CMA model, empirically evaluate client-side proving and on-chain verification across commodity edge hardware, and release an open-source reproducibility harness.</w:t>
      </w:r>
    </w:p>
    <w:p>
      <w:pPr>
        <w:keepNext/>
        <w:spacing w:before="240" w:after="120"/>
        <w:jc w:val="center"/>
      </w:pPr>
      <w:r>
        <w:rPr>
          <w:rFonts w:ascii="Times New Roman" w:hAnsi="Times New Roman"/>
          <w:b/>
          <w:color w:val="000000"/>
          <w:sz w:val="20"/>
        </w:rPr>
        <w:t>II. RELATED WORK</w:t>
      </w:r>
    </w:p>
    <w:p>
      <w:pPr>
        <w:keepNext/>
        <w:spacing w:before="160" w:after="80"/>
      </w:pPr>
      <w:r>
        <w:rPr>
          <w:rFonts w:ascii="Times New Roman" w:hAnsi="Times New Roman"/>
          <w:b w:val="0"/>
          <w:i/>
          <w:color w:val="000000"/>
          <w:sz w:val="20"/>
        </w:rPr>
        <w:t>A. Zero-Knowledge Identity Protocols</w:t>
      </w:r>
    </w:p>
    <w:p>
      <w:pPr>
        <w:spacing w:before="0" w:after="80" w:line="240" w:lineRule="auto"/>
        <w:ind w:firstLine="360"/>
        <w:jc w:val="both"/>
      </w:pPr>
      <w:r>
        <w:rPr>
          <w:rFonts w:ascii="Times New Roman" w:hAnsi="Times New Roman"/>
          <w:color w:val="000000"/>
          <w:sz w:val="20"/>
        </w:rPr>
        <w:t>Foundational work by Ben-Sasson et al. [4] and Groth [5] established efficient pairing-based SNARKs. Groth16 on the BN254 curve produces constant-size proofs comprising three group elements, providing the most compact representation among pairing systems. Anon Aadhaar [6] applied Groth16 circuits to verify RSA-2048 SHA-256 signatures over UIDAI QR codes. While pioneer work, Anon Aadhaar proofs remain detached strings susceptible to forwarding and lack any on-chain revocation mechanism. Polygon ID [9] implements Verifiable Credentials with BabyJubJub signatures, utilizing on-chain Merkle accumulators on EVM networks with O(log N) revocation overhead.</w:t>
      </w:r>
    </w:p>
    <w:p>
      <w:pPr>
        <w:keepNext/>
        <w:spacing w:before="160" w:after="80"/>
      </w:pPr>
      <w:r>
        <w:rPr>
          <w:rFonts w:ascii="Times New Roman" w:hAnsi="Times New Roman"/>
          <w:b w:val="0"/>
          <w:i/>
          <w:color w:val="000000"/>
          <w:sz w:val="20"/>
        </w:rPr>
        <w:t>B. Hardware-Bound Authentication</w:t>
      </w:r>
    </w:p>
    <w:p>
      <w:pPr>
        <w:spacing w:before="0" w:after="80" w:line="240" w:lineRule="auto"/>
        <w:ind w:firstLine="360"/>
        <w:jc w:val="both"/>
      </w:pPr>
      <w:r>
        <w:rPr>
          <w:rFonts w:ascii="Times New Roman" w:hAnsi="Times New Roman"/>
          <w:color w:val="000000"/>
          <w:sz w:val="20"/>
        </w:rPr>
        <w:t>The W3C Web Authentication (WebAuthn) specification [11] and FIDO2 standards [12] enable asymmetric authentication rooted in physical security chips. Keys are generated as non-exportable ECDSA-P256 pairs on the secp256r1 curve. Yeoh et al. introduced FIDO-AC [13], combining FIDO2 authenticators with BBS+ attribute signatures derived from ICAO ePassports. However, FIDO-AC is restricted to BBS+ credentials, lacks general-purpose zero-knowledge arithmetic circuit evaluation (e.g., arbitrary numerical inequalities), and incorporates no decentralized revocation ledger. Cloudflare's Privacy Access Tokens (PAT) [14] use zero-knowledge techniques for anti-bot device attestation, but operate as single-purpose session tokens without identity credential verification or state management.</w:t>
      </w:r>
    </w:p>
    <w:p>
      <w:pPr>
        <w:keepNext/>
        <w:spacing w:before="160" w:after="80"/>
      </w:pPr>
      <w:r>
        <w:rPr>
          <w:rFonts w:ascii="Times New Roman" w:hAnsi="Times New Roman"/>
          <w:b w:val="0"/>
          <w:i/>
          <w:color w:val="000000"/>
          <w:sz w:val="20"/>
        </w:rPr>
        <w:t>C. Comparative Systems Matrix</w:t>
      </w:r>
    </w:p>
    <w:p>
      <w:pPr>
        <w:keepNext/>
        <w:spacing w:before="160" w:after="80"/>
        <w:jc w:val="center"/>
      </w:pPr>
      <w:r>
        <w:rPr>
          <w:rFonts w:ascii="Times New Roman" w:hAnsi="Times New Roman"/>
          <w:color w:val="000000"/>
          <w:sz w:val="16"/>
        </w:rPr>
        <w:t>TABLE I. COMPARATIVE MATRIX OF PRIVACY-PRESERVING IDENTITY PROTOCOLS</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091"/>
        <w:gridCol w:w="2091"/>
        <w:gridCol w:w="2091"/>
        <w:gridCol w:w="2091"/>
        <w:gridCol w:w="2091"/>
      </w:tblGrid>
      <w:tr>
        <w:trPr>
          <w:cantSplit/>
        </w:trPr>
        <w:tc>
          <w:tcPr>
            <w:tcW w:type="dxa" w:w="2091"/>
          </w:tcPr>
          <w:p>
            <w:pPr>
              <w:spacing w:before="20" w:after="20"/>
            </w:pPr>
            <w:r>
              <w:rPr>
                <w:rFonts w:ascii="Times New Roman" w:hAnsi="Times New Roman"/>
                <w:b/>
                <w:color w:val="000000"/>
                <w:sz w:val="16"/>
              </w:rPr>
              <w:t>System</w:t>
            </w:r>
          </w:p>
        </w:tc>
        <w:tc>
          <w:tcPr>
            <w:tcW w:type="dxa" w:w="2091"/>
          </w:tcPr>
          <w:p>
            <w:pPr>
              <w:spacing w:before="20" w:after="20"/>
            </w:pPr>
            <w:r>
              <w:rPr>
                <w:rFonts w:ascii="Times New Roman" w:hAnsi="Times New Roman"/>
                <w:b/>
                <w:color w:val="000000"/>
                <w:sz w:val="16"/>
              </w:rPr>
              <w:t>Proof Binding</w:t>
            </w:r>
          </w:p>
        </w:tc>
        <w:tc>
          <w:tcPr>
            <w:tcW w:type="dxa" w:w="2091"/>
          </w:tcPr>
          <w:p>
            <w:pPr>
              <w:spacing w:before="20" w:after="20"/>
            </w:pPr>
            <w:r>
              <w:rPr>
                <w:rFonts w:ascii="Times New Roman" w:hAnsi="Times New Roman"/>
                <w:b/>
                <w:color w:val="000000"/>
                <w:sz w:val="16"/>
              </w:rPr>
              <w:t>Revocation</w:t>
            </w:r>
          </w:p>
        </w:tc>
        <w:tc>
          <w:tcPr>
            <w:tcW w:type="dxa" w:w="2091"/>
          </w:tcPr>
          <w:p>
            <w:pPr>
              <w:spacing w:before="20" w:after="20"/>
            </w:pPr>
            <w:r>
              <w:rPr>
                <w:rFonts w:ascii="Times New Roman" w:hAnsi="Times New Roman"/>
                <w:b/>
                <w:color w:val="000000"/>
                <w:sz w:val="16"/>
              </w:rPr>
              <w:t>Latency</w:t>
            </w:r>
          </w:p>
        </w:tc>
        <w:tc>
          <w:tcPr>
            <w:tcW w:type="dxa" w:w="2091"/>
          </w:tcPr>
          <w:p>
            <w:pPr>
              <w:spacing w:before="20" w:after="20"/>
            </w:pPr>
            <w:r>
              <w:rPr>
                <w:rFonts w:ascii="Times New Roman" w:hAnsi="Times New Roman"/>
                <w:b/>
                <w:color w:val="000000"/>
                <w:sz w:val="16"/>
              </w:rPr>
              <w:t>PII Stored</w:t>
            </w:r>
          </w:p>
        </w:tc>
      </w:tr>
      <w:tr>
        <w:trPr>
          <w:cantSplit/>
        </w:trPr>
        <w:tc>
          <w:tcPr>
            <w:tcW w:type="dxa" w:w="2091"/>
          </w:tcPr>
          <w:p>
            <w:pPr>
              <w:spacing w:before="20" w:after="20"/>
            </w:pPr>
            <w:r>
              <w:rPr>
                <w:rFonts w:ascii="Times New Roman" w:hAnsi="Times New Roman"/>
                <w:b w:val="0"/>
                <w:color w:val="000000"/>
                <w:sz w:val="16"/>
              </w:rPr>
              <w:t>Anon Aadhaar [6]</w:t>
            </w:r>
          </w:p>
        </w:tc>
        <w:tc>
          <w:tcPr>
            <w:tcW w:type="dxa" w:w="2091"/>
          </w:tcPr>
          <w:p>
            <w:pPr>
              <w:spacing w:before="20" w:after="20"/>
            </w:pPr>
            <w:r>
              <w:rPr>
                <w:rFonts w:ascii="Times New Roman" w:hAnsi="Times New Roman"/>
                <w:b w:val="0"/>
                <w:color w:val="000000"/>
                <w:sz w:val="16"/>
              </w:rPr>
              <w:t>None (detached JSON)</w:t>
            </w:r>
          </w:p>
        </w:tc>
        <w:tc>
          <w:tcPr>
            <w:tcW w:type="dxa" w:w="2091"/>
          </w:tcPr>
          <w:p>
            <w:pPr>
              <w:spacing w:before="20" w:after="20"/>
            </w:pPr>
            <w:r>
              <w:rPr>
                <w:rFonts w:ascii="Times New Roman" w:hAnsi="Times New Roman"/>
                <w:b w:val="0"/>
                <w:color w:val="000000"/>
                <w:sz w:val="16"/>
              </w:rPr>
              <w:t>None</w:t>
            </w:r>
          </w:p>
        </w:tc>
        <w:tc>
          <w:tcPr>
            <w:tcW w:type="dxa" w:w="2091"/>
          </w:tcPr>
          <w:p>
            <w:pPr>
              <w:spacing w:before="20" w:after="20"/>
            </w:pPr>
            <w:r>
              <w:rPr>
                <w:rFonts w:ascii="Times New Roman" w:hAnsi="Times New Roman"/>
                <w:b w:val="0"/>
                <w:color w:val="000000"/>
                <w:sz w:val="16"/>
              </w:rPr>
              <w:t>N/A</w:t>
            </w:r>
          </w:p>
        </w:tc>
        <w:tc>
          <w:tcPr>
            <w:tcW w:type="dxa" w:w="2091"/>
          </w:tcPr>
          <w:p>
            <w:pPr>
              <w:spacing w:before="20" w:after="20"/>
            </w:pPr>
            <w:r>
              <w:rPr>
                <w:rFonts w:ascii="Times New Roman" w:hAnsi="Times New Roman"/>
                <w:b w:val="0"/>
                <w:color w:val="000000"/>
                <w:sz w:val="16"/>
              </w:rPr>
              <w:t>0 bytes</w:t>
            </w:r>
          </w:p>
        </w:tc>
      </w:tr>
      <w:tr>
        <w:trPr>
          <w:cantSplit/>
        </w:trPr>
        <w:tc>
          <w:tcPr>
            <w:tcW w:type="dxa" w:w="2091"/>
          </w:tcPr>
          <w:p>
            <w:pPr>
              <w:spacing w:before="20" w:after="20"/>
            </w:pPr>
            <w:r>
              <w:rPr>
                <w:rFonts w:ascii="Times New Roman" w:hAnsi="Times New Roman"/>
                <w:b w:val="0"/>
                <w:color w:val="000000"/>
                <w:sz w:val="16"/>
              </w:rPr>
              <w:t>Polygon ID [9]</w:t>
            </w:r>
          </w:p>
        </w:tc>
        <w:tc>
          <w:tcPr>
            <w:tcW w:type="dxa" w:w="2091"/>
          </w:tcPr>
          <w:p>
            <w:pPr>
              <w:spacing w:before="20" w:after="20"/>
            </w:pPr>
            <w:r>
              <w:rPr>
                <w:rFonts w:ascii="Times New Roman" w:hAnsi="Times New Roman"/>
                <w:b w:val="0"/>
                <w:color w:val="000000"/>
                <w:sz w:val="16"/>
              </w:rPr>
              <w:t>None</w:t>
            </w:r>
          </w:p>
        </w:tc>
        <w:tc>
          <w:tcPr>
            <w:tcW w:type="dxa" w:w="2091"/>
          </w:tcPr>
          <w:p>
            <w:pPr>
              <w:spacing w:before="20" w:after="20"/>
            </w:pPr>
            <w:r>
              <w:rPr>
                <w:rFonts w:ascii="Times New Roman" w:hAnsi="Times New Roman"/>
                <w:b w:val="0"/>
                <w:color w:val="000000"/>
                <w:sz w:val="16"/>
              </w:rPr>
              <w:t>O(log N) SMT</w:t>
            </w:r>
          </w:p>
        </w:tc>
        <w:tc>
          <w:tcPr>
            <w:tcW w:type="dxa" w:w="2091"/>
          </w:tcPr>
          <w:p>
            <w:pPr>
              <w:spacing w:before="20" w:after="20"/>
            </w:pPr>
            <w:r>
              <w:rPr>
                <w:rFonts w:ascii="Times New Roman" w:hAnsi="Times New Roman"/>
                <w:b w:val="0"/>
                <w:color w:val="000000"/>
                <w:sz w:val="16"/>
              </w:rPr>
              <w:t>12–15 min</w:t>
            </w:r>
          </w:p>
        </w:tc>
        <w:tc>
          <w:tcPr>
            <w:tcW w:type="dxa" w:w="2091"/>
          </w:tcPr>
          <w:p>
            <w:pPr>
              <w:spacing w:before="20" w:after="20"/>
            </w:pPr>
            <w:r>
              <w:rPr>
                <w:rFonts w:ascii="Times New Roman" w:hAnsi="Times New Roman"/>
                <w:b w:val="0"/>
                <w:color w:val="000000"/>
                <w:sz w:val="16"/>
              </w:rPr>
              <w:t>0 bytes</w:t>
            </w:r>
          </w:p>
        </w:tc>
      </w:tr>
      <w:tr>
        <w:trPr>
          <w:cantSplit/>
        </w:trPr>
        <w:tc>
          <w:tcPr>
            <w:tcW w:type="dxa" w:w="2091"/>
          </w:tcPr>
          <w:p>
            <w:pPr>
              <w:spacing w:before="20" w:after="20"/>
            </w:pPr>
            <w:r>
              <w:rPr>
                <w:rFonts w:ascii="Times New Roman" w:hAnsi="Times New Roman"/>
                <w:b w:val="0"/>
                <w:color w:val="000000"/>
                <w:sz w:val="16"/>
              </w:rPr>
              <w:t>Worldcoin [8]</w:t>
            </w:r>
          </w:p>
        </w:tc>
        <w:tc>
          <w:tcPr>
            <w:tcW w:type="dxa" w:w="2091"/>
          </w:tcPr>
          <w:p>
            <w:pPr>
              <w:spacing w:before="20" w:after="20"/>
            </w:pPr>
            <w:r>
              <w:rPr>
                <w:rFonts w:ascii="Times New Roman" w:hAnsi="Times New Roman"/>
                <w:b w:val="0"/>
                <w:color w:val="000000"/>
                <w:sz w:val="16"/>
              </w:rPr>
              <w:t>Iris biometric template</w:t>
            </w:r>
          </w:p>
        </w:tc>
        <w:tc>
          <w:tcPr>
            <w:tcW w:type="dxa" w:w="2091"/>
          </w:tcPr>
          <w:p>
            <w:pPr>
              <w:spacing w:before="20" w:after="20"/>
            </w:pPr>
            <w:r>
              <w:rPr>
                <w:rFonts w:ascii="Times New Roman" w:hAnsi="Times New Roman"/>
                <w:b w:val="0"/>
                <w:color w:val="000000"/>
                <w:sz w:val="16"/>
              </w:rPr>
              <w:t>None</w:t>
            </w:r>
          </w:p>
        </w:tc>
        <w:tc>
          <w:tcPr>
            <w:tcW w:type="dxa" w:w="2091"/>
          </w:tcPr>
          <w:p>
            <w:pPr>
              <w:spacing w:before="20" w:after="20"/>
            </w:pPr>
            <w:r>
              <w:rPr>
                <w:rFonts w:ascii="Times New Roman" w:hAnsi="Times New Roman"/>
                <w:b w:val="0"/>
                <w:color w:val="000000"/>
                <w:sz w:val="16"/>
              </w:rPr>
              <w:t>N/A</w:t>
            </w:r>
          </w:p>
        </w:tc>
        <w:tc>
          <w:tcPr>
            <w:tcW w:type="dxa" w:w="2091"/>
          </w:tcPr>
          <w:p>
            <w:pPr>
              <w:spacing w:before="20" w:after="20"/>
            </w:pPr>
            <w:r>
              <w:rPr>
                <w:rFonts w:ascii="Times New Roman" w:hAnsi="Times New Roman"/>
                <w:b w:val="0"/>
                <w:color w:val="000000"/>
                <w:sz w:val="16"/>
              </w:rPr>
              <w:t>Biometric Hash</w:t>
            </w:r>
          </w:p>
        </w:tc>
      </w:tr>
      <w:tr>
        <w:trPr>
          <w:cantSplit/>
        </w:trPr>
        <w:tc>
          <w:tcPr>
            <w:tcW w:type="dxa" w:w="2091"/>
          </w:tcPr>
          <w:p>
            <w:pPr>
              <w:spacing w:before="20" w:after="20"/>
            </w:pPr>
            <w:r>
              <w:rPr>
                <w:rFonts w:ascii="Times New Roman" w:hAnsi="Times New Roman"/>
                <w:b w:val="0"/>
                <w:color w:val="000000"/>
                <w:sz w:val="16"/>
              </w:rPr>
              <w:t>FIDO-AC [13]</w:t>
            </w:r>
          </w:p>
        </w:tc>
        <w:tc>
          <w:tcPr>
            <w:tcW w:type="dxa" w:w="2091"/>
          </w:tcPr>
          <w:p>
            <w:pPr>
              <w:spacing w:before="20" w:after="20"/>
            </w:pPr>
            <w:r>
              <w:rPr>
                <w:rFonts w:ascii="Times New Roman" w:hAnsi="Times New Roman"/>
                <w:b w:val="0"/>
                <w:color w:val="000000"/>
                <w:sz w:val="16"/>
              </w:rPr>
              <w:t>FIDO2 HW signature</w:t>
            </w:r>
          </w:p>
        </w:tc>
        <w:tc>
          <w:tcPr>
            <w:tcW w:type="dxa" w:w="2091"/>
          </w:tcPr>
          <w:p>
            <w:pPr>
              <w:spacing w:before="20" w:after="20"/>
            </w:pPr>
            <w:r>
              <w:rPr>
                <w:rFonts w:ascii="Times New Roman" w:hAnsi="Times New Roman"/>
                <w:b w:val="0"/>
                <w:color w:val="000000"/>
                <w:sz w:val="16"/>
              </w:rPr>
              <w:t>None</w:t>
            </w:r>
          </w:p>
        </w:tc>
        <w:tc>
          <w:tcPr>
            <w:tcW w:type="dxa" w:w="2091"/>
          </w:tcPr>
          <w:p>
            <w:pPr>
              <w:spacing w:before="20" w:after="20"/>
            </w:pPr>
            <w:r>
              <w:rPr>
                <w:rFonts w:ascii="Times New Roman" w:hAnsi="Times New Roman"/>
                <w:b w:val="0"/>
                <w:color w:val="000000"/>
                <w:sz w:val="16"/>
              </w:rPr>
              <w:t>N/A</w:t>
            </w:r>
          </w:p>
        </w:tc>
        <w:tc>
          <w:tcPr>
            <w:tcW w:type="dxa" w:w="2091"/>
          </w:tcPr>
          <w:p>
            <w:pPr>
              <w:spacing w:before="20" w:after="20"/>
            </w:pPr>
            <w:r>
              <w:rPr>
                <w:rFonts w:ascii="Times New Roman" w:hAnsi="Times New Roman"/>
                <w:b w:val="0"/>
                <w:color w:val="000000"/>
                <w:sz w:val="16"/>
              </w:rPr>
              <w:t>0 bytes</w:t>
            </w:r>
          </w:p>
        </w:tc>
      </w:tr>
      <w:tr>
        <w:trPr>
          <w:cantSplit/>
        </w:trPr>
        <w:tc>
          <w:tcPr>
            <w:tcW w:type="dxa" w:w="2091"/>
          </w:tcPr>
          <w:p>
            <w:pPr>
              <w:spacing w:before="20" w:after="20"/>
            </w:pPr>
            <w:r>
              <w:rPr>
                <w:rFonts w:ascii="Times New Roman" w:hAnsi="Times New Roman"/>
                <w:b w:val="0"/>
                <w:color w:val="000000"/>
                <w:sz w:val="16"/>
              </w:rPr>
              <w:t>ZERO-ID (ours)</w:t>
            </w:r>
          </w:p>
        </w:tc>
        <w:tc>
          <w:tcPr>
            <w:tcW w:type="dxa" w:w="2091"/>
          </w:tcPr>
          <w:p>
            <w:pPr>
              <w:spacing w:before="20" w:after="20"/>
            </w:pPr>
            <w:r>
              <w:rPr>
                <w:rFonts w:ascii="Times New Roman" w:hAnsi="Times New Roman"/>
                <w:b w:val="0"/>
                <w:color w:val="000000"/>
                <w:sz w:val="16"/>
              </w:rPr>
              <w:t>FIDO2 Hash-Chaining</w:t>
            </w:r>
          </w:p>
        </w:tc>
        <w:tc>
          <w:tcPr>
            <w:tcW w:type="dxa" w:w="2091"/>
          </w:tcPr>
          <w:p>
            <w:pPr>
              <w:spacing w:before="20" w:after="20"/>
            </w:pPr>
            <w:r>
              <w:rPr>
                <w:rFonts w:ascii="Times New Roman" w:hAnsi="Times New Roman"/>
                <w:b w:val="0"/>
                <w:color w:val="000000"/>
                <w:sz w:val="16"/>
              </w:rPr>
              <w:t>O(1) Box Storage</w:t>
            </w:r>
          </w:p>
        </w:tc>
        <w:tc>
          <w:tcPr>
            <w:tcW w:type="dxa" w:w="2091"/>
          </w:tcPr>
          <w:p>
            <w:pPr>
              <w:spacing w:before="20" w:after="20"/>
            </w:pPr>
            <w:r>
              <w:rPr>
                <w:rFonts w:ascii="Times New Roman" w:hAnsi="Times New Roman"/>
                <w:b w:val="0"/>
                <w:color w:val="000000"/>
                <w:sz w:val="16"/>
              </w:rPr>
              <w:t>3.80 sec</w:t>
            </w:r>
          </w:p>
        </w:tc>
        <w:tc>
          <w:tcPr>
            <w:tcW w:type="dxa" w:w="2091"/>
          </w:tcPr>
          <w:p>
            <w:pPr>
              <w:spacing w:before="20" w:after="20"/>
            </w:pPr>
            <w:r>
              <w:rPr>
                <w:rFonts w:ascii="Times New Roman" w:hAnsi="Times New Roman"/>
                <w:b w:val="0"/>
                <w:color w:val="000000"/>
                <w:sz w:val="16"/>
              </w:rPr>
              <w:t>0 bytes</w:t>
            </w:r>
          </w:p>
        </w:tc>
      </w:tr>
    </w:tbl>
    <w:p>
      <w:pPr>
        <w:spacing w:before="40" w:after="80"/>
      </w:pPr>
    </w:p>
    <w:p>
      <w:pPr>
        <w:keepNext/>
        <w:spacing w:before="240" w:after="120"/>
        <w:jc w:val="center"/>
      </w:pPr>
      <w:r>
        <w:rPr>
          <w:rFonts w:ascii="Times New Roman" w:hAnsi="Times New Roman"/>
          <w:b/>
          <w:color w:val="000000"/>
          <w:sz w:val="20"/>
        </w:rPr>
        <w:t>III. SYSTEM ARCHITECTURE</w:t>
      </w:r>
    </w:p>
    <w:p>
      <w:pPr>
        <w:spacing w:before="0" w:after="80" w:line="240" w:lineRule="auto"/>
        <w:ind w:firstLine="360"/>
        <w:jc w:val="both"/>
      </w:pPr>
      <w:r>
        <w:rPr>
          <w:rFonts w:ascii="Times New Roman" w:hAnsi="Times New Roman"/>
          <w:color w:val="000000"/>
          <w:sz w:val="20"/>
        </w:rPr>
        <w:t>ZERO-ID is structured into three coordinated tiers: a client-side edge proving engine, a stateless optical/HTTP presentation boundary, and an on-chain verification and revocation state machine on Algorand Layer-1. Fig. 1 depicts the structural pipeline.</w:t>
      </w:r>
    </w:p>
    <w:tbl>
      <w:tblPr>
        <w:tblW w:type="auto" w:w="0"/>
        <w:jc w:val="center"/>
        <w:tblLayout w:type="autofit"/>
        <w:tblLook w:firstColumn="1" w:firstRow="1" w:lastColumn="0" w:lastRow="0" w:noHBand="0" w:noVBand="1" w:val="04A0"/>
        <w:tblBorders>
          <w:top w:val="single" w:sz="4" w:space="0" w:color="A0A0A0"/>
          <w:bottom w:val="single" w:sz="4" w:space="0" w:color="A0A0A0"/>
          <w:left w:val="single" w:sz="4" w:space="0" w:color="A0A0A0"/>
          <w:right w:val="single" w:sz="4" w:space="0" w:color="A0A0A0"/>
        </w:tblBorders>
      </w:tblPr>
      <w:tblGrid>
        <w:gridCol w:w="10454"/>
      </w:tblGrid>
      <w:tr>
        <w:trPr>
          <w:cantSplit/>
        </w:trPr>
        <w:tc>
          <w:tcPr>
            <w:tcW w:type="dxa" w:w="10454"/>
          </w:tcPr>
          <w:p>
            <w:pPr>
              <w:keepNext/>
              <w:spacing w:before="60" w:after="60" w:line="240" w:lineRule="auto"/>
            </w:pPr>
            <w:r>
              <w:rPr>
                <w:rFonts w:ascii="Courier New" w:hAnsi="Courier New"/>
                <w:color w:val="000000"/>
                <w:sz w:val="15"/>
              </w:rPr>
              <w:t>+--------------------------------+</w:t>
              <w:br/>
              <w:t>| CLIENT TIER (Edge Browser)     |</w:t>
              <w:br/>
              <w:t>| +----------------------------+ |</w:t>
              <w:br/>
              <w:t>| | 1. UIDAI XML-DSig Ingest   | |</w:t>
              <w:br/>
              <w:t>| |    RSA-2048 Local Verify   | |</w:t>
              <w:br/>
              <w:t>| +--------------+-------------+ |</w:t>
              <w:br/>
              <w:t>|                |               |</w:t>
              <w:br/>
              <w:t>|                v               |</w:t>
              <w:br/>
              <w:t>| +----------------------------+ |</w:t>
              <w:br/>
              <w:t>| | 2. Circom WASM Prover      | |</w:t>
              <w:br/>
              <w:t>| |    Groth16 (BN254 Curve)   | |</w:t>
              <w:br/>
              <w:t>| +--------------+-------------+ |</w:t>
              <w:br/>
              <w:t>|                |               |</w:t>
              <w:br/>
              <w:t>|                v               |</w:t>
              <w:br/>
              <w:t>| +----------------------------+ |</w:t>
              <w:br/>
              <w:t>| | 3. FIDO2 / WebAuthn Sign   | |</w:t>
              <w:br/>
              <w:t>| |    Hardware Enclave Bound  | |</w:t>
              <w:br/>
              <w:t>| +--------------+-------------+ |</w:t>
              <w:br/>
              <w:t>+----------------|---------------+</w:t>
              <w:br/>
              <w:t xml:space="preserve">                 v</w:t>
              <w:br/>
              <w:t>+--------------------------------+</w:t>
              <w:br/>
              <w:t>| PRESENTATION LAYER (QR/Webhook)|</w:t>
              <w:br/>
              <w:t>| 128B Proof + 32B Nullifier     |</w:t>
              <w:br/>
              <w:t>+----------------|---------------+</w:t>
              <w:br/>
              <w:t xml:space="preserve">                 v</w:t>
              <w:br/>
              <w:t>+--------------------------------+</w:t>
              <w:br/>
              <w:t>| CONSENSUS TIER (Algorand L1)   |</w:t>
              <w:br/>
              <w:t>| +----------------------------+ |</w:t>
              <w:br/>
              <w:t>| | AVM App 1: bn254_pairing   | |</w:t>
              <w:br/>
              <w:t>| | (Mathematical Validity)    | |</w:t>
              <w:br/>
              <w:t>| +----------------------------+ |</w:t>
              <w:br/>
              <w:t>| | AVM App 2: Box Storage     | |</w:t>
              <w:br/>
              <w:t>| | (O(1) Revocation Index)    | |</w:t>
              <w:br/>
              <w:t>| +----------------------------+ |</w:t>
              <w:br/>
              <w:t>+--------------------------------+</w:t>
            </w:r>
          </w:p>
        </w:tc>
      </w:tr>
    </w:tbl>
    <w:p>
      <w:pPr>
        <w:keepNext/>
        <w:spacing w:before="60" w:after="120"/>
        <w:jc w:val="center"/>
      </w:pPr>
      <w:r>
        <w:rPr>
          <w:rFonts w:ascii="Times New Roman" w:hAnsi="Times New Roman"/>
          <w:color w:val="000000"/>
          <w:sz w:val="16"/>
        </w:rPr>
        <w:t>Fig. 1. ZERO-ID three-tier system architecture.</w:t>
      </w:r>
    </w:p>
    <w:p>
      <w:pPr>
        <w:keepNext/>
        <w:spacing w:before="160" w:after="80"/>
      </w:pPr>
      <w:r>
        <w:rPr>
          <w:rFonts w:ascii="Times New Roman" w:hAnsi="Times New Roman"/>
          <w:b w:val="0"/>
          <w:i/>
          <w:color w:val="000000"/>
          <w:sz w:val="20"/>
        </w:rPr>
        <w:t>A. Phase 1: Local Credential Ingestion &amp; Verification</w:t>
      </w:r>
    </w:p>
    <w:p>
      <w:pPr>
        <w:spacing w:before="0" w:after="80" w:line="240" w:lineRule="auto"/>
        <w:ind w:firstLine="360"/>
        <w:jc w:val="both"/>
      </w:pPr>
      <w:r>
        <w:rPr>
          <w:rFonts w:ascii="Times New Roman" w:hAnsi="Times New Roman"/>
          <w:color w:val="000000"/>
          <w:sz w:val="20"/>
        </w:rPr>
        <w:t>The client loads an official UIDAI Offline e-KYC XML package into volatile JavaScript memory. The client-side parser isolates the &lt;SignatureValue&gt; block and validates the RSA-2048 SHA-256 PKCS#1 v1.5 digital signature against the UIDAI Certificate Authority root. If S^e ≠ H(M) mod N, execution halts instantly. Upon successful validation, extracted demographic fields (e.g., birthYear) are transferred to arithmetic circuit witness registers, and raw XML buffers are overwritten.</w:t>
      </w:r>
    </w:p>
    <w:p>
      <w:pPr>
        <w:keepNext/>
        <w:spacing w:before="160" w:after="80"/>
      </w:pPr>
      <w:r>
        <w:rPr>
          <w:rFonts w:ascii="Times New Roman" w:hAnsi="Times New Roman"/>
          <w:b w:val="0"/>
          <w:i/>
          <w:color w:val="000000"/>
          <w:sz w:val="20"/>
        </w:rPr>
        <w:t>B. Phase 2: Client-Side Constraint Proving</w:t>
      </w:r>
    </w:p>
    <w:p>
      <w:pPr>
        <w:spacing w:before="0" w:after="80" w:line="240" w:lineRule="auto"/>
        <w:ind w:firstLine="360"/>
        <w:jc w:val="both"/>
      </w:pPr>
      <w:r>
        <w:rPr>
          <w:rFonts w:ascii="Times New Roman" w:hAnsi="Times New Roman"/>
          <w:color w:val="000000"/>
          <w:sz w:val="20"/>
        </w:rPr>
        <w:t>The witness is supplied to the compiled WebAssembly Circom circuit. The snarkjs engine computes Groth16 proof elements π = (A ∈ G₁, B ∈ G₂, C ∈ G₁) over the BN254 elliptic curve. Simultaneously, a scoped 32-byte nullifier hash is generated via the Poseidon algebraic hash function [15]:</w:t>
      </w:r>
    </w:p>
    <w:p>
      <w:pPr>
        <w:spacing w:before="100" w:after="100"/>
        <w:jc w:val="center"/>
      </w:pPr>
      <w:r>
        <w:rPr>
          <w:rFonts w:ascii="Times New Roman" w:hAnsi="Times New Roman"/>
          <w:i/>
          <w:color w:val="000000"/>
          <w:sz w:val="20"/>
        </w:rPr>
        <w:t>NullifierHash = Poseidon(Aadhaar_Secret_Salt, UID_Hash, RelyingParty_ID)</w:t>
      </w:r>
      <w:r>
        <w:rPr>
          <w:rFonts w:ascii="Times New Roman" w:hAnsi="Times New Roman"/>
          <w:color w:val="000000"/>
          <w:sz w:val="20"/>
        </w:rPr>
        <w:t xml:space="preserve">    (1)</w:t>
      </w:r>
    </w:p>
    <w:p>
      <w:pPr>
        <w:spacing w:before="0" w:after="80" w:line="240" w:lineRule="auto"/>
        <w:ind w:firstLine="360"/>
        <w:jc w:val="both"/>
      </w:pPr>
      <w:r>
        <w:rPr>
          <w:rFonts w:ascii="Times New Roman" w:hAnsi="Times New Roman"/>
          <w:color w:val="000000"/>
          <w:sz w:val="20"/>
        </w:rPr>
        <w:t>The RelyingParty_ID parameter ensures cross-verifier unlinkability: proofs submitted to Bank A and Hotel B yield statistically independent nullifiers, precluding cross-platform tracking.</w:t>
      </w:r>
    </w:p>
    <w:p>
      <w:pPr>
        <w:keepNext/>
        <w:spacing w:before="160" w:after="80"/>
      </w:pPr>
      <w:r>
        <w:rPr>
          <w:rFonts w:ascii="Times New Roman" w:hAnsi="Times New Roman"/>
          <w:b w:val="0"/>
          <w:i/>
          <w:color w:val="000000"/>
          <w:sz w:val="20"/>
        </w:rPr>
        <w:t>C. Phase 3: Hardware-Enclave Parameter Hash-Chaining</w:t>
      </w:r>
    </w:p>
    <w:p>
      <w:pPr>
        <w:spacing w:before="0" w:after="80" w:line="240" w:lineRule="auto"/>
        <w:ind w:firstLine="360"/>
        <w:jc w:val="both"/>
      </w:pPr>
      <w:r>
        <w:rPr>
          <w:rFonts w:ascii="Times New Roman" w:hAnsi="Times New Roman"/>
          <w:color w:val="000000"/>
          <w:sz w:val="20"/>
        </w:rPr>
        <w:t>To cryptographically bind the proof to the host hardware, the client constructs a composite challenge digest C_HW:</w:t>
      </w:r>
    </w:p>
    <w:p>
      <w:pPr>
        <w:spacing w:before="100" w:after="100"/>
        <w:jc w:val="center"/>
      </w:pPr>
      <w:r>
        <w:rPr>
          <w:rFonts w:ascii="Times New Roman" w:hAnsi="Times New Roman"/>
          <w:i/>
          <w:color w:val="000000"/>
          <w:sz w:val="20"/>
        </w:rPr>
        <w:t>C_HW = SHA-256(A_bytes || B_bytes || C_bytes || NullifierHash || Timestamp || Nonce)</w:t>
      </w:r>
      <w:r>
        <w:rPr>
          <w:rFonts w:ascii="Times New Roman" w:hAnsi="Times New Roman"/>
          <w:color w:val="000000"/>
          <w:sz w:val="20"/>
        </w:rPr>
        <w:t xml:space="preserve">    (2)</w:t>
      </w:r>
    </w:p>
    <w:p>
      <w:pPr>
        <w:spacing w:before="0" w:after="80" w:line="240" w:lineRule="auto"/>
        <w:ind w:firstLine="360"/>
        <w:jc w:val="both"/>
      </w:pPr>
      <w:r>
        <w:rPr>
          <w:rFonts w:ascii="Times New Roman" w:hAnsi="Times New Roman"/>
          <w:color w:val="000000"/>
          <w:sz w:val="20"/>
        </w:rPr>
        <w:t>The browser invokes navigator.credentials.get() via WebAuthn, triggering local biometric authentication (Touch ID, Face ID, or Windows Hello). The hardware enclave signs C_HW with its non-exportable ECDSA-P256 private key, yielding signature σ = (r, s). The resulting presentation bundle contains: {π, NullifierHash, σ, PublicSignals, Timestamp, Nonce}.</w:t>
      </w:r>
    </w:p>
    <w:p>
      <w:pPr>
        <w:keepNext/>
        <w:spacing w:before="160" w:after="80"/>
      </w:pPr>
      <w:r>
        <w:rPr>
          <w:rFonts w:ascii="Times New Roman" w:hAnsi="Times New Roman"/>
          <w:b w:val="0"/>
          <w:i/>
          <w:color w:val="000000"/>
          <w:sz w:val="20"/>
        </w:rPr>
        <w:t>D. Phase 4 &amp; 5: On-Chain Verification &amp; O(1) Revocation</w:t>
      </w:r>
    </w:p>
    <w:p>
      <w:pPr>
        <w:spacing w:before="0" w:after="80" w:line="240" w:lineRule="auto"/>
        <w:ind w:firstLine="360"/>
        <w:jc w:val="both"/>
      </w:pPr>
      <w:r>
        <w:rPr>
          <w:rFonts w:ascii="Times New Roman" w:hAnsi="Times New Roman"/>
          <w:color w:val="000000"/>
          <w:sz w:val="20"/>
        </w:rPr>
        <w:t>The verifier evaluates mathematical validity via Algorand Virtual Machine (AVM) smart contract App ID 761383580, which invokes the native bn254_pairing opcode to evaluate the bilinear pairing equation:</w:t>
      </w:r>
    </w:p>
    <w:p>
      <w:pPr>
        <w:spacing w:before="100" w:after="100"/>
        <w:jc w:val="center"/>
      </w:pPr>
      <w:r>
        <w:rPr>
          <w:rFonts w:ascii="Times New Roman" w:hAnsi="Times New Roman"/>
          <w:i/>
          <w:color w:val="000000"/>
          <w:sz w:val="20"/>
        </w:rPr>
        <w:t>e(A, B) = e(α, β) · e(L, γ) · e(C, δ)</w:t>
      </w:r>
      <w:r>
        <w:rPr>
          <w:rFonts w:ascii="Times New Roman" w:hAnsi="Times New Roman"/>
          <w:color w:val="000000"/>
          <w:sz w:val="20"/>
        </w:rPr>
        <w:t xml:space="preserve">    (3)</w:t>
      </w:r>
    </w:p>
    <w:p>
      <w:pPr>
        <w:spacing w:before="0" w:after="80" w:line="240" w:lineRule="auto"/>
        <w:ind w:firstLine="360"/>
        <w:jc w:val="both"/>
      </w:pPr>
      <w:r>
        <w:rPr>
          <w:rFonts w:ascii="Times New Roman" w:hAnsi="Times New Roman"/>
          <w:color w:val="000000"/>
          <w:sz w:val="20"/>
        </w:rPr>
        <w:t>where L = IC₀ + Σ(xᵢ · ICᵢ) represents the public instance accumulator. Concurrently, the verifier queries Revocation App ID 761383581 for the Box Storage allocation keyed by NullifierHash. If the box contains 0x01 (REVOKED), the presentation is rejected; otherwise, access is granted. The verifier stores exactly 0 bytes of customer PII.</w:t>
      </w:r>
    </w:p>
    <w:p>
      <w:pPr>
        <w:keepNext/>
        <w:spacing w:before="240" w:after="120"/>
        <w:jc w:val="center"/>
      </w:pPr>
      <w:r>
        <w:rPr>
          <w:rFonts w:ascii="Times New Roman" w:hAnsi="Times New Roman"/>
          <w:b/>
          <w:color w:val="000000"/>
          <w:sz w:val="20"/>
        </w:rPr>
        <w:t>IV. CIRCUIT DESIGN AND CRYPTOGRAPHIC SPECIFICATION</w:t>
      </w:r>
    </w:p>
    <w:p>
      <w:pPr>
        <w:keepNext/>
        <w:spacing w:before="160" w:after="80"/>
      </w:pPr>
      <w:r>
        <w:rPr>
          <w:rFonts w:ascii="Times New Roman" w:hAnsi="Times New Roman"/>
          <w:b w:val="0"/>
          <w:i/>
          <w:color w:val="000000"/>
          <w:sz w:val="20"/>
        </w:rPr>
        <w:t>A. Soundness-Guaranteed Arithmetic Circuit</w:t>
      </w:r>
    </w:p>
    <w:p>
      <w:pPr>
        <w:spacing w:before="0" w:after="80" w:line="240" w:lineRule="auto"/>
        <w:ind w:firstLine="360"/>
        <w:jc w:val="both"/>
      </w:pPr>
      <w:r>
        <w:rPr>
          <w:rFonts w:ascii="Times New Roman" w:hAnsi="Times New Roman"/>
          <w:color w:val="000000"/>
          <w:sz w:val="20"/>
        </w:rPr>
        <w:t>The age verification circuit (Listing 1) proves that a citizen satisfies an age threshold without leaking the exact birth year. In Circom, assignments must establish linear constraints via the &lt;== operator rather than unconstrained assignment (&lt;--). The circuit enforces this strictly:</w:t>
      </w:r>
    </w:p>
    <w:tbl>
      <w:tblPr>
        <w:tblW w:type="auto" w:w="0"/>
        <w:jc w:val="center"/>
        <w:tblLayout w:type="autofit"/>
        <w:tblLook w:firstColumn="1" w:firstRow="1" w:lastColumn="0" w:lastRow="0" w:noHBand="0" w:noVBand="1" w:val="04A0"/>
        <w:tblBorders>
          <w:top w:val="single" w:sz="4" w:space="0" w:color="A0A0A0"/>
          <w:bottom w:val="single" w:sz="4" w:space="0" w:color="A0A0A0"/>
          <w:left w:val="single" w:sz="4" w:space="0" w:color="A0A0A0"/>
          <w:right w:val="single" w:sz="4" w:space="0" w:color="A0A0A0"/>
        </w:tblBorders>
      </w:tblPr>
      <w:tblGrid>
        <w:gridCol w:w="10454"/>
      </w:tblGrid>
      <w:tr>
        <w:trPr>
          <w:cantSplit/>
        </w:trPr>
        <w:tc>
          <w:tcPr>
            <w:tcW w:type="dxa" w:w="10454"/>
          </w:tcPr>
          <w:p>
            <w:pPr>
              <w:keepNext/>
              <w:spacing w:before="60" w:after="60" w:line="240" w:lineRule="auto"/>
            </w:pPr>
            <w:r>
              <w:rPr>
                <w:rFonts w:ascii="Courier New" w:hAnsi="Courier New"/>
                <w:color w:val="000000"/>
                <w:sz w:val="15"/>
              </w:rPr>
              <w:t>pragma circom 2.1.0;</w:t>
              <w:br/>
              <w:t>include "bitify.circom";</w:t>
              <w:br/>
              <w:t>include "comparators.circom";</w:t>
              <w:br/>
              <w:br/>
              <w:t>template AgeProof() {</w:t>
              <w:br/>
              <w:t xml:space="preserve">    signal input birthYear;      // Private witness</w:t>
              <w:br/>
              <w:t xml:space="preserve">    signal input currentYear;    // Public instance</w:t>
              <w:br/>
              <w:t xml:space="preserve">    signal input ageThreshold;   // Public instance (18)</w:t>
              <w:br/>
              <w:t xml:space="preserve">    signal output isOverAge;</w:t>
              <w:br/>
              <w:br/>
              <w:t xml:space="preserve">    signal calculatedAge;</w:t>
              <w:br/>
              <w:t xml:space="preserve">    calculatedAge &lt;== currentYear - birthYear; // Constrained</w:t>
              <w:br/>
              <w:br/>
              <w:t xml:space="preserve">    // Range-check to [0, 127] preventing field underflow</w:t>
              <w:br/>
              <w:t xml:space="preserve">    component n2b = Num2Bits(7);</w:t>
              <w:br/>
              <w:t xml:space="preserve">    n2b.in &lt;== calculatedAge;</w:t>
              <w:br/>
              <w:br/>
              <w:t xml:space="preserve">    // Inequality comparison gate</w:t>
              <w:br/>
              <w:t xml:space="preserve">    component gte = GreaterEqThan(7);</w:t>
              <w:br/>
              <w:t xml:space="preserve">    gte.in[0] &lt;== calculatedAge;</w:t>
              <w:br/>
              <w:t xml:space="preserve">    gte.in[1] &lt;== ageThreshold;</w:t>
              <w:br/>
              <w:t xml:space="preserve">    isOverAge &lt;== gte.out;</w:t>
              <w:br/>
              <w:t xml:space="preserve">    isOverAge === 1; // Enforce truth predicate</w:t>
              <w:br/>
              <w:t>}</w:t>
              <w:br/>
              <w:t>component main {public [currentYear, ageThreshold]} = AgeProof();</w:t>
            </w:r>
          </w:p>
        </w:tc>
      </w:tr>
    </w:tbl>
    <w:p>
      <w:pPr>
        <w:keepNext/>
        <w:spacing w:before="60" w:after="120"/>
        <w:jc w:val="center"/>
      </w:pPr>
      <w:r>
        <w:rPr>
          <w:rFonts w:ascii="Times New Roman" w:hAnsi="Times New Roman"/>
          <w:color w:val="000000"/>
          <w:sz w:val="16"/>
        </w:rPr>
        <w:t>Listing 1. Production Circom 2.1.0 age verification circuit.</w:t>
      </w:r>
    </w:p>
    <w:p>
      <w:pPr>
        <w:spacing w:before="0" w:after="80" w:line="240" w:lineRule="auto"/>
        <w:ind w:firstLine="360"/>
        <w:jc w:val="both"/>
      </w:pPr>
      <w:r>
        <w:rPr>
          <w:rFonts w:ascii="Times New Roman" w:hAnsi="Times New Roman"/>
          <w:color w:val="000000"/>
          <w:sz w:val="20"/>
        </w:rPr>
        <w:t>Soundness Analysis: The signal calculatedAge is constrained via calculatedAge &lt;== currentYear - birthYear. To prevent field underflow attacks—where an adversary supplies birthYear &gt; currentYear, causing calculatedAge to wrap around the prime field modulus p ≈ 2^254 of BN254 and evaluate as a massive positive integer—the circuit decomposes calculatedAge into a 7-bit vector via Num2Bits(7). This strictly confines calculatedAge to [0, 127]. The GreaterEqThan(7) comparator evaluates calculatedAge ≥ ageThreshold, and the terminal assertion isOverAge === 1 guarantees that satisfying assignments exist if and only if the age predicate is true.</w:t>
      </w:r>
    </w:p>
    <w:p>
      <w:pPr>
        <w:keepNext/>
        <w:spacing w:before="160" w:after="80"/>
      </w:pPr>
      <w:r>
        <w:rPr>
          <w:rFonts w:ascii="Times New Roman" w:hAnsi="Times New Roman"/>
          <w:b w:val="0"/>
          <w:i/>
          <w:color w:val="000000"/>
          <w:sz w:val="20"/>
        </w:rPr>
        <w:t>B. Mathematical Proof Serialization (BN254)</w:t>
      </w:r>
    </w:p>
    <w:p>
      <w:pPr>
        <w:spacing w:before="0" w:after="80" w:line="240" w:lineRule="auto"/>
        <w:ind w:firstLine="360"/>
        <w:jc w:val="both"/>
      </w:pPr>
      <w:r>
        <w:rPr>
          <w:rFonts w:ascii="Times New Roman" w:hAnsi="Times New Roman"/>
          <w:color w:val="000000"/>
          <w:sz w:val="20"/>
        </w:rPr>
        <w:t>A critical property of ZERO-ID is proof payload compression for dynamic 2D optical presentation. On the BN254 elliptic curve, group elements possess distinct representations:</w:t>
      </w:r>
    </w:p>
    <w:p>
      <w:pPr>
        <w:spacing w:before="0" w:after="80" w:line="240" w:lineRule="auto"/>
        <w:jc w:val="both"/>
      </w:pPr>
      <w:r>
        <w:rPr>
          <w:rFonts w:ascii="Times New Roman" w:hAnsi="Times New Roman"/>
          <w:color w:val="000000"/>
          <w:sz w:val="20"/>
        </w:rPr>
        <w:t>- Compressed Serialization: Point A in G₁ is compressed to 32 bytes (x-coordinate with sign parity bit); Point B in G₂ is compressed to 64 bytes (𝔽_p² polynomial coefficients); Point C in G₁ is compressed to 32 bytes. Total payload = 32 + 64 + 32 = exactly 128 bytes (1,024 bits).</w:t>
      </w:r>
    </w:p>
    <w:p>
      <w:pPr>
        <w:spacing w:before="0" w:after="80" w:line="240" w:lineRule="auto"/>
        <w:jc w:val="both"/>
      </w:pPr>
      <w:r>
        <w:rPr>
          <w:rFonts w:ascii="Times New Roman" w:hAnsi="Times New Roman"/>
          <w:color w:val="000000"/>
          <w:sz w:val="20"/>
        </w:rPr>
        <w:t>- Uncompressed Affine Representation: Points (x, y) require 64 bytes for G₁ and 128 bytes for G₂, summing to 256 bytes. The optical QR Version 4 encoder transmits the compressed 128-byte payload, which is decompressed by the verifier client prior to passing group elements to the AVM bn254_pairing opcode.</w:t>
      </w:r>
    </w:p>
    <w:p>
      <w:pPr>
        <w:keepNext/>
        <w:spacing w:before="160" w:after="80"/>
        <w:jc w:val="center"/>
      </w:pPr>
      <w:r>
        <w:rPr>
          <w:rFonts w:ascii="Times New Roman" w:hAnsi="Times New Roman"/>
          <w:color w:val="000000"/>
          <w:sz w:val="16"/>
        </w:rPr>
        <w:t>TABLE II. PROVING SYSTEM EVALUATION FOR MOBILE OPTICAL TRANSMISSION</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091"/>
        <w:gridCol w:w="2091"/>
        <w:gridCol w:w="2091"/>
        <w:gridCol w:w="2091"/>
        <w:gridCol w:w="2091"/>
      </w:tblGrid>
      <w:tr>
        <w:trPr>
          <w:cantSplit/>
        </w:trPr>
        <w:tc>
          <w:tcPr>
            <w:tcW w:type="dxa" w:w="2091"/>
          </w:tcPr>
          <w:p>
            <w:pPr>
              <w:spacing w:before="20" w:after="20"/>
            </w:pPr>
            <w:r>
              <w:rPr>
                <w:rFonts w:ascii="Times New Roman" w:hAnsi="Times New Roman"/>
                <w:b/>
                <w:color w:val="000000"/>
                <w:sz w:val="16"/>
              </w:rPr>
              <w:t>Proving Scheme</w:t>
            </w:r>
          </w:p>
        </w:tc>
        <w:tc>
          <w:tcPr>
            <w:tcW w:type="dxa" w:w="2091"/>
          </w:tcPr>
          <w:p>
            <w:pPr>
              <w:spacing w:before="20" w:after="20"/>
            </w:pPr>
            <w:r>
              <w:rPr>
                <w:rFonts w:ascii="Times New Roman" w:hAnsi="Times New Roman"/>
                <w:b/>
                <w:color w:val="000000"/>
                <w:sz w:val="16"/>
              </w:rPr>
              <w:t>Compressed Size</w:t>
            </w:r>
          </w:p>
        </w:tc>
        <w:tc>
          <w:tcPr>
            <w:tcW w:type="dxa" w:w="2091"/>
          </w:tcPr>
          <w:p>
            <w:pPr>
              <w:spacing w:before="20" w:after="20"/>
            </w:pPr>
            <w:r>
              <w:rPr>
                <w:rFonts w:ascii="Times New Roman" w:hAnsi="Times New Roman"/>
                <w:b/>
                <w:color w:val="000000"/>
                <w:sz w:val="16"/>
              </w:rPr>
              <w:t>Verification Time</w:t>
            </w:r>
          </w:p>
        </w:tc>
        <w:tc>
          <w:tcPr>
            <w:tcW w:type="dxa" w:w="2091"/>
          </w:tcPr>
          <w:p>
            <w:pPr>
              <w:spacing w:before="20" w:after="20"/>
            </w:pPr>
            <w:r>
              <w:rPr>
                <w:rFonts w:ascii="Times New Roman" w:hAnsi="Times New Roman"/>
                <w:b/>
                <w:color w:val="000000"/>
                <w:sz w:val="16"/>
              </w:rPr>
              <w:t>AVM Opcode Support</w:t>
            </w:r>
          </w:p>
        </w:tc>
        <w:tc>
          <w:tcPr>
            <w:tcW w:type="dxa" w:w="2091"/>
          </w:tcPr>
          <w:p>
            <w:pPr>
              <w:spacing w:before="20" w:after="20"/>
            </w:pPr>
            <w:r>
              <w:rPr>
                <w:rFonts w:ascii="Times New Roman" w:hAnsi="Times New Roman"/>
                <w:b/>
                <w:color w:val="000000"/>
                <w:sz w:val="16"/>
              </w:rPr>
              <w:t>QR v4 Density</w:t>
            </w:r>
          </w:p>
        </w:tc>
      </w:tr>
      <w:tr>
        <w:trPr>
          <w:cantSplit/>
        </w:trPr>
        <w:tc>
          <w:tcPr>
            <w:tcW w:type="dxa" w:w="2091"/>
          </w:tcPr>
          <w:p>
            <w:pPr>
              <w:spacing w:before="20" w:after="20"/>
            </w:pPr>
            <w:r>
              <w:rPr>
                <w:rFonts w:ascii="Times New Roman" w:hAnsi="Times New Roman"/>
                <w:b w:val="0"/>
                <w:color w:val="000000"/>
                <w:sz w:val="16"/>
              </w:rPr>
              <w:t>Groth16 (BN254)</w:t>
            </w:r>
          </w:p>
        </w:tc>
        <w:tc>
          <w:tcPr>
            <w:tcW w:type="dxa" w:w="2091"/>
          </w:tcPr>
          <w:p>
            <w:pPr>
              <w:spacing w:before="20" w:after="20"/>
            </w:pPr>
            <w:r>
              <w:rPr>
                <w:rFonts w:ascii="Times New Roman" w:hAnsi="Times New Roman"/>
                <w:b w:val="0"/>
                <w:color w:val="000000"/>
                <w:sz w:val="16"/>
              </w:rPr>
              <w:t>128 Bytes</w:t>
            </w:r>
          </w:p>
        </w:tc>
        <w:tc>
          <w:tcPr>
            <w:tcW w:type="dxa" w:w="2091"/>
          </w:tcPr>
          <w:p>
            <w:pPr>
              <w:spacing w:before="20" w:after="20"/>
            </w:pPr>
            <w:r>
              <w:rPr>
                <w:rFonts w:ascii="Times New Roman" w:hAnsi="Times New Roman"/>
                <w:b w:val="0"/>
                <w:color w:val="000000"/>
                <w:sz w:val="16"/>
              </w:rPr>
              <w:t>&lt;4 ms (3 pairings)</w:t>
            </w:r>
          </w:p>
        </w:tc>
        <w:tc>
          <w:tcPr>
            <w:tcW w:type="dxa" w:w="2091"/>
          </w:tcPr>
          <w:p>
            <w:pPr>
              <w:spacing w:before="20" w:after="20"/>
            </w:pPr>
            <w:r>
              <w:rPr>
                <w:rFonts w:ascii="Times New Roman" w:hAnsi="Times New Roman"/>
                <w:b w:val="0"/>
                <w:color w:val="000000"/>
                <w:sz w:val="16"/>
              </w:rPr>
              <w:t>Native bn254_pairing</w:t>
            </w:r>
          </w:p>
        </w:tc>
        <w:tc>
          <w:tcPr>
            <w:tcW w:type="dxa" w:w="2091"/>
          </w:tcPr>
          <w:p>
            <w:pPr>
              <w:spacing w:before="20" w:after="20"/>
            </w:pPr>
            <w:r>
              <w:rPr>
                <w:rFonts w:ascii="Times New Roman" w:hAnsi="Times New Roman"/>
                <w:b w:val="0"/>
                <w:color w:val="000000"/>
                <w:sz w:val="16"/>
              </w:rPr>
              <w:t>Optimal (&lt;300 modules)</w:t>
            </w:r>
          </w:p>
        </w:tc>
      </w:tr>
      <w:tr>
        <w:trPr>
          <w:cantSplit/>
        </w:trPr>
        <w:tc>
          <w:tcPr>
            <w:tcW w:type="dxa" w:w="2091"/>
          </w:tcPr>
          <w:p>
            <w:pPr>
              <w:spacing w:before="20" w:after="20"/>
            </w:pPr>
            <w:r>
              <w:rPr>
                <w:rFonts w:ascii="Times New Roman" w:hAnsi="Times New Roman"/>
                <w:b w:val="0"/>
                <w:color w:val="000000"/>
                <w:sz w:val="16"/>
              </w:rPr>
              <w:t>PLONK (KZG)</w:t>
            </w:r>
          </w:p>
        </w:tc>
        <w:tc>
          <w:tcPr>
            <w:tcW w:type="dxa" w:w="2091"/>
          </w:tcPr>
          <w:p>
            <w:pPr>
              <w:spacing w:before="20" w:after="20"/>
            </w:pPr>
            <w:r>
              <w:rPr>
                <w:rFonts w:ascii="Times New Roman" w:hAnsi="Times New Roman"/>
                <w:b w:val="0"/>
                <w:color w:val="000000"/>
                <w:sz w:val="16"/>
              </w:rPr>
              <w:t>480–800 Bytes</w:t>
            </w:r>
          </w:p>
        </w:tc>
        <w:tc>
          <w:tcPr>
            <w:tcW w:type="dxa" w:w="2091"/>
          </w:tcPr>
          <w:p>
            <w:pPr>
              <w:spacing w:before="20" w:after="20"/>
            </w:pPr>
            <w:r>
              <w:rPr>
                <w:rFonts w:ascii="Times New Roman" w:hAnsi="Times New Roman"/>
                <w:b w:val="0"/>
                <w:color w:val="000000"/>
                <w:sz w:val="16"/>
              </w:rPr>
              <w:t>12–25 ms</w:t>
            </w:r>
          </w:p>
        </w:tc>
        <w:tc>
          <w:tcPr>
            <w:tcW w:type="dxa" w:w="2091"/>
          </w:tcPr>
          <w:p>
            <w:pPr>
              <w:spacing w:before="20" w:after="20"/>
            </w:pPr>
            <w:r>
              <w:rPr>
                <w:rFonts w:ascii="Times New Roman" w:hAnsi="Times New Roman"/>
                <w:b w:val="0"/>
                <w:color w:val="000000"/>
                <w:sz w:val="16"/>
              </w:rPr>
              <w:t>Polynomial opening required</w:t>
            </w:r>
          </w:p>
        </w:tc>
        <w:tc>
          <w:tcPr>
            <w:tcW w:type="dxa" w:w="2091"/>
          </w:tcPr>
          <w:p>
            <w:pPr>
              <w:spacing w:before="20" w:after="20"/>
            </w:pPr>
            <w:r>
              <w:rPr>
                <w:rFonts w:ascii="Times New Roman" w:hAnsi="Times New Roman"/>
                <w:b w:val="0"/>
                <w:color w:val="000000"/>
                <w:sz w:val="16"/>
              </w:rPr>
              <w:t>Dense (High scan latency)</w:t>
            </w:r>
          </w:p>
        </w:tc>
      </w:tr>
      <w:tr>
        <w:trPr>
          <w:cantSplit/>
        </w:trPr>
        <w:tc>
          <w:tcPr>
            <w:tcW w:type="dxa" w:w="2091"/>
          </w:tcPr>
          <w:p>
            <w:pPr>
              <w:spacing w:before="20" w:after="20"/>
            </w:pPr>
            <w:r>
              <w:rPr>
                <w:rFonts w:ascii="Times New Roman" w:hAnsi="Times New Roman"/>
                <w:b w:val="0"/>
                <w:color w:val="000000"/>
                <w:sz w:val="16"/>
              </w:rPr>
              <w:t>STARK (FRI)</w:t>
            </w:r>
          </w:p>
        </w:tc>
        <w:tc>
          <w:tcPr>
            <w:tcW w:type="dxa" w:w="2091"/>
          </w:tcPr>
          <w:p>
            <w:pPr>
              <w:spacing w:before="20" w:after="20"/>
            </w:pPr>
            <w:r>
              <w:rPr>
                <w:rFonts w:ascii="Times New Roman" w:hAnsi="Times New Roman"/>
                <w:b w:val="0"/>
                <w:color w:val="000000"/>
                <w:sz w:val="16"/>
              </w:rPr>
              <w:t>45–100 KB</w:t>
            </w:r>
          </w:p>
        </w:tc>
        <w:tc>
          <w:tcPr>
            <w:tcW w:type="dxa" w:w="2091"/>
          </w:tcPr>
          <w:p>
            <w:pPr>
              <w:spacing w:before="20" w:after="20"/>
            </w:pPr>
            <w:r>
              <w:rPr>
                <w:rFonts w:ascii="Times New Roman" w:hAnsi="Times New Roman"/>
                <w:b w:val="0"/>
                <w:color w:val="000000"/>
                <w:sz w:val="16"/>
              </w:rPr>
              <w:t>50–120 ms</w:t>
            </w:r>
          </w:p>
        </w:tc>
        <w:tc>
          <w:tcPr>
            <w:tcW w:type="dxa" w:w="2091"/>
          </w:tcPr>
          <w:p>
            <w:pPr>
              <w:spacing w:before="20" w:after="20"/>
            </w:pPr>
            <w:r>
              <w:rPr>
                <w:rFonts w:ascii="Times New Roman" w:hAnsi="Times New Roman"/>
                <w:b w:val="0"/>
                <w:color w:val="000000"/>
                <w:sz w:val="16"/>
              </w:rPr>
              <w:t>High hash cycle overhead</w:t>
            </w:r>
          </w:p>
        </w:tc>
        <w:tc>
          <w:tcPr>
            <w:tcW w:type="dxa" w:w="2091"/>
          </w:tcPr>
          <w:p>
            <w:pPr>
              <w:spacing w:before="20" w:after="20"/>
            </w:pPr>
            <w:r>
              <w:rPr>
                <w:rFonts w:ascii="Times New Roman" w:hAnsi="Times New Roman"/>
                <w:b w:val="0"/>
                <w:color w:val="000000"/>
                <w:sz w:val="16"/>
              </w:rPr>
              <w:t>Exceeds QR capacity</w:t>
            </w:r>
          </w:p>
        </w:tc>
      </w:tr>
      <w:tr>
        <w:trPr>
          <w:cantSplit/>
        </w:trPr>
        <w:tc>
          <w:tcPr>
            <w:tcW w:type="dxa" w:w="2091"/>
          </w:tcPr>
          <w:p>
            <w:pPr>
              <w:spacing w:before="20" w:after="20"/>
            </w:pPr>
            <w:r>
              <w:rPr>
                <w:rFonts w:ascii="Times New Roman" w:hAnsi="Times New Roman"/>
                <w:b w:val="0"/>
                <w:color w:val="000000"/>
                <w:sz w:val="16"/>
              </w:rPr>
              <w:t>Halo2 (IPA)</w:t>
            </w:r>
          </w:p>
        </w:tc>
        <w:tc>
          <w:tcPr>
            <w:tcW w:type="dxa" w:w="2091"/>
          </w:tcPr>
          <w:p>
            <w:pPr>
              <w:spacing w:before="20" w:after="20"/>
            </w:pPr>
            <w:r>
              <w:rPr>
                <w:rFonts w:ascii="Times New Roman" w:hAnsi="Times New Roman"/>
                <w:b w:val="0"/>
                <w:color w:val="000000"/>
                <w:sz w:val="16"/>
              </w:rPr>
              <w:t>1.2–2.0 KB</w:t>
            </w:r>
          </w:p>
        </w:tc>
        <w:tc>
          <w:tcPr>
            <w:tcW w:type="dxa" w:w="2091"/>
          </w:tcPr>
          <w:p>
            <w:pPr>
              <w:spacing w:before="20" w:after="20"/>
            </w:pPr>
            <w:r>
              <w:rPr>
                <w:rFonts w:ascii="Times New Roman" w:hAnsi="Times New Roman"/>
                <w:b w:val="0"/>
                <w:color w:val="000000"/>
                <w:sz w:val="16"/>
              </w:rPr>
              <w:t>30–60 ms</w:t>
            </w:r>
          </w:p>
        </w:tc>
        <w:tc>
          <w:tcPr>
            <w:tcW w:type="dxa" w:w="2091"/>
          </w:tcPr>
          <w:p>
            <w:pPr>
              <w:spacing w:before="20" w:after="20"/>
            </w:pPr>
            <w:r>
              <w:rPr>
                <w:rFonts w:ascii="Times New Roman" w:hAnsi="Times New Roman"/>
                <w:b w:val="0"/>
                <w:color w:val="000000"/>
                <w:sz w:val="16"/>
              </w:rPr>
              <w:t>Recursive verification</w:t>
            </w:r>
          </w:p>
        </w:tc>
        <w:tc>
          <w:tcPr>
            <w:tcW w:type="dxa" w:w="2091"/>
          </w:tcPr>
          <w:p>
            <w:pPr>
              <w:spacing w:before="20" w:after="20"/>
            </w:pPr>
            <w:r>
              <w:rPr>
                <w:rFonts w:ascii="Times New Roman" w:hAnsi="Times New Roman"/>
                <w:b w:val="0"/>
                <w:color w:val="000000"/>
                <w:sz w:val="16"/>
              </w:rPr>
              <w:t>Impractical for optical</w:t>
            </w:r>
          </w:p>
        </w:tc>
      </w:tr>
    </w:tbl>
    <w:p>
      <w:pPr>
        <w:spacing w:before="40" w:after="80"/>
      </w:pPr>
    </w:p>
    <w:p>
      <w:pPr>
        <w:keepNext/>
        <w:spacing w:before="240" w:after="120"/>
        <w:jc w:val="center"/>
      </w:pPr>
      <w:r>
        <w:rPr>
          <w:rFonts w:ascii="Times New Roman" w:hAnsi="Times New Roman"/>
          <w:b/>
          <w:color w:val="000000"/>
          <w:sz w:val="20"/>
        </w:rPr>
        <w:t>V. FORMAL SECURITY ANALYSIS</w:t>
      </w:r>
    </w:p>
    <w:p>
      <w:pPr>
        <w:keepNext/>
        <w:spacing w:before="160" w:after="80"/>
      </w:pPr>
      <w:r>
        <w:rPr>
          <w:rFonts w:ascii="Times New Roman" w:hAnsi="Times New Roman"/>
          <w:b w:val="0"/>
          <w:i/>
          <w:color w:val="000000"/>
          <w:sz w:val="20"/>
        </w:rPr>
        <w:t>A. Security Model and Definitions</w:t>
      </w:r>
    </w:p>
    <w:p>
      <w:pPr>
        <w:spacing w:before="0" w:after="80" w:line="240" w:lineRule="auto"/>
        <w:ind w:firstLine="360"/>
        <w:jc w:val="both"/>
      </w:pPr>
      <w:r>
        <w:rPr>
          <w:rFonts w:ascii="Times New Roman" w:hAnsi="Times New Roman"/>
          <w:color w:val="000000"/>
          <w:sz w:val="20"/>
        </w:rPr>
        <w:t>We formalize the security properties of ZERO-ID under the Universal Composability (UC) framework, treating the hardware secure enclave as an ideal functionality F_HW that performs biometric-gated signing.</w:t>
      </w:r>
    </w:p>
    <w:p>
      <w:pPr>
        <w:spacing w:before="0" w:after="80" w:line="240" w:lineRule="auto"/>
        <w:ind w:firstLine="360"/>
        <w:jc w:val="both"/>
      </w:pPr>
      <w:r>
        <w:rPr>
          <w:rFonts w:ascii="Times New Roman" w:hAnsi="Times New Roman"/>
          <w:color w:val="000000"/>
          <w:sz w:val="20"/>
        </w:rPr>
        <w:t>Definition 1 (Computational Zero-Knowledge): The proving system satisfies zero-knowledge if for every probabilistic polynomial-time (PPT) adversary A, there exists a PPT simulator S such that for all valid witnesses w satisfying relation R(x, w) = 1, the view of A interacting with real prover P(x, w) is computationally indistinguishable from S(x): View_A(P(x, w)) ≈_c S(x). In Groth16, this holds under randomized blinding factors r, s ∈ 𝔽_r.</w:t>
      </w:r>
    </w:p>
    <w:p>
      <w:pPr>
        <w:spacing w:before="0" w:after="80" w:line="240" w:lineRule="auto"/>
        <w:ind w:firstLine="360"/>
        <w:jc w:val="both"/>
      </w:pPr>
      <w:r>
        <w:rPr>
          <w:rFonts w:ascii="Times New Roman" w:hAnsi="Times New Roman"/>
          <w:color w:val="000000"/>
          <w:sz w:val="20"/>
        </w:rPr>
        <w:t>Definition 2 (Hardware-Bound Anti-Forwarding Game): Let A be a PPT adversary who observes a valid presentation bundle Γ = {π, NullifierHash, σ, T, Nonce} generated by honest party H on device D_H for relying party RP₁. A wins the anti-forwarding experiment Exp_A^anti-fwd if A outputs a valid bundle Γ' acceptable to verifier RP₂ ≠ RP₁ or at timestamp T' &gt; T + 300s, without physical control of D_H's biometric sensor.</w:t>
      </w:r>
    </w:p>
    <w:p>
      <w:pPr>
        <w:spacing w:before="0" w:after="80" w:line="240" w:lineRule="auto"/>
        <w:ind w:firstLine="360"/>
        <w:jc w:val="both"/>
      </w:pPr>
      <w:r>
        <w:rPr>
          <w:rFonts w:ascii="Times New Roman" w:hAnsi="Times New Roman"/>
          <w:color w:val="000000"/>
          <w:sz w:val="20"/>
        </w:rPr>
        <w:t>Theorem 1 (Anti-Forwarding Reduction): If the signature scheme implemented by F_HW is Existentially Unforgeable under Chosen Message Attacks (EUF-CMA) and SHA-256 is collision-resistant, then the probability of any PPT adversary A winning Exp_A^anti-fwd is negligible in the security parameter λ:</w:t>
      </w:r>
    </w:p>
    <w:p>
      <w:pPr>
        <w:spacing w:before="100" w:after="100"/>
        <w:jc w:val="center"/>
      </w:pPr>
      <w:r>
        <w:rPr>
          <w:rFonts w:ascii="Times New Roman" w:hAnsi="Times New Roman"/>
          <w:i/>
          <w:color w:val="000000"/>
          <w:sz w:val="20"/>
        </w:rPr>
        <w:t>Adv_A^anti-fwd(λ) ≤ Adv_F_HW^EUF-CMA(λ) + Adv_SHA256^CR(λ) + 2^(-λ)</w:t>
      </w:r>
      <w:r>
        <w:rPr>
          <w:rFonts w:ascii="Times New Roman" w:hAnsi="Times New Roman"/>
          <w:color w:val="000000"/>
          <w:sz w:val="20"/>
        </w:rPr>
        <w:t xml:space="preserve">    (4)</w:t>
      </w:r>
    </w:p>
    <w:p>
      <w:pPr>
        <w:spacing w:before="0" w:after="80" w:line="240" w:lineRule="auto"/>
        <w:ind w:firstLine="360"/>
        <w:jc w:val="both"/>
      </w:pPr>
      <w:r>
        <w:rPr>
          <w:rFonts w:ascii="Times New Roman" w:hAnsi="Times New Roman"/>
          <w:color w:val="000000"/>
          <w:sz w:val="20"/>
        </w:rPr>
        <w:t>Proof Sketch: Suppose A constructs a valid Γ' for RP₂ without biometric invocation on D_H. By Equation (2), C_HW' contains RP₂ ≠ RP₁. By collision resistance of SHA-256, C_HW' ≠ C_HW with probability 1 - 2^(-λ). To forge a valid signature σ' over C_HW', A must forge an ECDSA-P256 signature without access to the isolated private key, directly breaking the EUF-CMA security of the hardware enclave. Thus, Adv_A^anti-fwd is negligible.</w:t>
      </w:r>
    </w:p>
    <w:p>
      <w:pPr>
        <w:keepNext/>
        <w:spacing w:before="160" w:after="80"/>
      </w:pPr>
      <w:r>
        <w:rPr>
          <w:rFonts w:ascii="Times New Roman" w:hAnsi="Times New Roman"/>
          <w:b w:val="0"/>
          <w:i/>
          <w:color w:val="000000"/>
          <w:sz w:val="20"/>
        </w:rPr>
        <w:t>B. Threat Model and Mitigation Matrix</w:t>
      </w:r>
    </w:p>
    <w:p>
      <w:pPr>
        <w:keepNext/>
        <w:spacing w:before="160" w:after="80"/>
        <w:jc w:val="center"/>
      </w:pPr>
      <w:r>
        <w:rPr>
          <w:rFonts w:ascii="Times New Roman" w:hAnsi="Times New Roman"/>
          <w:color w:val="000000"/>
          <w:sz w:val="16"/>
        </w:rPr>
        <w:t>TABLE III. FORMAL THREAT MODEL AND MITIGATION MATRIX</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3485"/>
        <w:gridCol w:w="3485"/>
        <w:gridCol w:w="3485"/>
      </w:tblGrid>
      <w:tr>
        <w:trPr>
          <w:cantSplit/>
        </w:trPr>
        <w:tc>
          <w:tcPr>
            <w:tcW w:type="dxa" w:w="3485"/>
          </w:tcPr>
          <w:p>
            <w:pPr>
              <w:spacing w:before="20" w:after="20"/>
            </w:pPr>
            <w:r>
              <w:rPr>
                <w:rFonts w:ascii="Times New Roman" w:hAnsi="Times New Roman"/>
                <w:b/>
                <w:color w:val="000000"/>
                <w:sz w:val="16"/>
              </w:rPr>
              <w:t>Threat Vector</w:t>
            </w:r>
          </w:p>
        </w:tc>
        <w:tc>
          <w:tcPr>
            <w:tcW w:type="dxa" w:w="3485"/>
          </w:tcPr>
          <w:p>
            <w:pPr>
              <w:spacing w:before="20" w:after="20"/>
            </w:pPr>
            <w:r>
              <w:rPr>
                <w:rFonts w:ascii="Times New Roman" w:hAnsi="Times New Roman"/>
                <w:b/>
                <w:color w:val="000000"/>
                <w:sz w:val="16"/>
              </w:rPr>
              <w:t>Adversary Objective</w:t>
            </w:r>
          </w:p>
        </w:tc>
        <w:tc>
          <w:tcPr>
            <w:tcW w:type="dxa" w:w="3485"/>
          </w:tcPr>
          <w:p>
            <w:pPr>
              <w:spacing w:before="20" w:after="20"/>
            </w:pPr>
            <w:r>
              <w:rPr>
                <w:rFonts w:ascii="Times New Roman" w:hAnsi="Times New Roman"/>
                <w:b/>
                <w:color w:val="000000"/>
                <w:sz w:val="16"/>
              </w:rPr>
              <w:t>Cryptographic Mitigation in ZERO-ID</w:t>
            </w:r>
          </w:p>
        </w:tc>
      </w:tr>
      <w:tr>
        <w:trPr>
          <w:cantSplit/>
        </w:trPr>
        <w:tc>
          <w:tcPr>
            <w:tcW w:type="dxa" w:w="3485"/>
          </w:tcPr>
          <w:p>
            <w:pPr>
              <w:spacing w:before="20" w:after="20"/>
            </w:pPr>
            <w:r>
              <w:rPr>
                <w:rFonts w:ascii="Times New Roman" w:hAnsi="Times New Roman"/>
                <w:b w:val="0"/>
                <w:color w:val="000000"/>
                <w:sz w:val="16"/>
              </w:rPr>
              <w:t>Tampered XML Envelope</w:t>
            </w:r>
          </w:p>
        </w:tc>
        <w:tc>
          <w:tcPr>
            <w:tcW w:type="dxa" w:w="3485"/>
          </w:tcPr>
          <w:p>
            <w:pPr>
              <w:spacing w:before="20" w:after="20"/>
            </w:pPr>
            <w:r>
              <w:rPr>
                <w:rFonts w:ascii="Times New Roman" w:hAnsi="Times New Roman"/>
                <w:b w:val="0"/>
                <w:color w:val="000000"/>
                <w:sz w:val="16"/>
              </w:rPr>
              <w:t>Forge birthYear or identity attributes</w:t>
            </w:r>
          </w:p>
        </w:tc>
        <w:tc>
          <w:tcPr>
            <w:tcW w:type="dxa" w:w="3485"/>
          </w:tcPr>
          <w:p>
            <w:pPr>
              <w:spacing w:before="20" w:after="20"/>
            </w:pPr>
            <w:r>
              <w:rPr>
                <w:rFonts w:ascii="Times New Roman" w:hAnsi="Times New Roman"/>
                <w:b w:val="0"/>
                <w:color w:val="000000"/>
                <w:sz w:val="16"/>
              </w:rPr>
              <w:t>RSA-2048 SHA-256 PKCS#1 v1.5 check halts execution before witness creation.</w:t>
            </w:r>
          </w:p>
        </w:tc>
      </w:tr>
      <w:tr>
        <w:trPr>
          <w:cantSplit/>
        </w:trPr>
        <w:tc>
          <w:tcPr>
            <w:tcW w:type="dxa" w:w="3485"/>
          </w:tcPr>
          <w:p>
            <w:pPr>
              <w:spacing w:before="20" w:after="20"/>
            </w:pPr>
            <w:r>
              <w:rPr>
                <w:rFonts w:ascii="Times New Roman" w:hAnsi="Times New Roman"/>
                <w:b w:val="0"/>
                <w:color w:val="000000"/>
                <w:sz w:val="16"/>
              </w:rPr>
              <w:t>Proof Forwarding / Sybil</w:t>
            </w:r>
          </w:p>
        </w:tc>
        <w:tc>
          <w:tcPr>
            <w:tcW w:type="dxa" w:w="3485"/>
          </w:tcPr>
          <w:p>
            <w:pPr>
              <w:spacing w:before="20" w:after="20"/>
            </w:pPr>
            <w:r>
              <w:rPr>
                <w:rFonts w:ascii="Times New Roman" w:hAnsi="Times New Roman"/>
                <w:b w:val="0"/>
                <w:color w:val="000000"/>
                <w:sz w:val="16"/>
              </w:rPr>
              <w:t>Replay valid proof on secondary device</w:t>
            </w:r>
          </w:p>
        </w:tc>
        <w:tc>
          <w:tcPr>
            <w:tcW w:type="dxa" w:w="3485"/>
          </w:tcPr>
          <w:p>
            <w:pPr>
              <w:spacing w:before="20" w:after="20"/>
            </w:pPr>
            <w:r>
              <w:rPr>
                <w:rFonts w:ascii="Times New Roman" w:hAnsi="Times New Roman"/>
                <w:b w:val="0"/>
                <w:color w:val="000000"/>
                <w:sz w:val="16"/>
              </w:rPr>
              <w:t>Hardware enclave ECDSA-P256 signature σ binds proof points to physical enclave.</w:t>
            </w:r>
          </w:p>
        </w:tc>
      </w:tr>
      <w:tr>
        <w:trPr>
          <w:cantSplit/>
        </w:trPr>
        <w:tc>
          <w:tcPr>
            <w:tcW w:type="dxa" w:w="3485"/>
          </w:tcPr>
          <w:p>
            <w:pPr>
              <w:spacing w:before="20" w:after="20"/>
            </w:pPr>
            <w:r>
              <w:rPr>
                <w:rFonts w:ascii="Times New Roman" w:hAnsi="Times New Roman"/>
                <w:b w:val="0"/>
                <w:color w:val="000000"/>
                <w:sz w:val="16"/>
              </w:rPr>
              <w:t>Optical Replay Attack</w:t>
            </w:r>
          </w:p>
        </w:tc>
        <w:tc>
          <w:tcPr>
            <w:tcW w:type="dxa" w:w="3485"/>
          </w:tcPr>
          <w:p>
            <w:pPr>
              <w:spacing w:before="20" w:after="20"/>
            </w:pPr>
            <w:r>
              <w:rPr>
                <w:rFonts w:ascii="Times New Roman" w:hAnsi="Times New Roman"/>
                <w:b w:val="0"/>
                <w:color w:val="000000"/>
                <w:sz w:val="16"/>
              </w:rPr>
              <w:t>Capture and reuse displayed QR code</w:t>
            </w:r>
          </w:p>
        </w:tc>
        <w:tc>
          <w:tcPr>
            <w:tcW w:type="dxa" w:w="3485"/>
          </w:tcPr>
          <w:p>
            <w:pPr>
              <w:spacing w:before="20" w:after="20"/>
            </w:pPr>
            <w:r>
              <w:rPr>
                <w:rFonts w:ascii="Times New Roman" w:hAnsi="Times New Roman"/>
                <w:b w:val="0"/>
                <w:color w:val="000000"/>
                <w:sz w:val="16"/>
              </w:rPr>
              <w:t>Challenge embeds timestamp T and nonce; rejected if |T_current - T| &gt; 300 seconds.</w:t>
            </w:r>
          </w:p>
        </w:tc>
      </w:tr>
      <w:tr>
        <w:trPr>
          <w:cantSplit/>
        </w:trPr>
        <w:tc>
          <w:tcPr>
            <w:tcW w:type="dxa" w:w="3485"/>
          </w:tcPr>
          <w:p>
            <w:pPr>
              <w:spacing w:before="20" w:after="20"/>
            </w:pPr>
            <w:r>
              <w:rPr>
                <w:rFonts w:ascii="Times New Roman" w:hAnsi="Times New Roman"/>
                <w:b w:val="0"/>
                <w:color w:val="000000"/>
                <w:sz w:val="16"/>
              </w:rPr>
              <w:t>Revoked Credential Use</w:t>
            </w:r>
          </w:p>
        </w:tc>
        <w:tc>
          <w:tcPr>
            <w:tcW w:type="dxa" w:w="3485"/>
          </w:tcPr>
          <w:p>
            <w:pPr>
              <w:spacing w:before="20" w:after="20"/>
            </w:pPr>
            <w:r>
              <w:rPr>
                <w:rFonts w:ascii="Times New Roman" w:hAnsi="Times New Roman"/>
                <w:b w:val="0"/>
                <w:color w:val="000000"/>
                <w:sz w:val="16"/>
              </w:rPr>
              <w:t>Authenticate post-revocation</w:t>
            </w:r>
          </w:p>
        </w:tc>
        <w:tc>
          <w:tcPr>
            <w:tcW w:type="dxa" w:w="3485"/>
          </w:tcPr>
          <w:p>
            <w:pPr>
              <w:spacing w:before="20" w:after="20"/>
            </w:pPr>
            <w:r>
              <w:rPr>
                <w:rFonts w:ascii="Times New Roman" w:hAnsi="Times New Roman"/>
                <w:b w:val="0"/>
                <w:color w:val="000000"/>
                <w:sz w:val="16"/>
              </w:rPr>
              <w:t>AVM App 761383581 returns 0x01 from Box Storage; instantly terminates validation.</w:t>
            </w:r>
          </w:p>
        </w:tc>
      </w:tr>
      <w:tr>
        <w:trPr>
          <w:cantSplit/>
        </w:trPr>
        <w:tc>
          <w:tcPr>
            <w:tcW w:type="dxa" w:w="3485"/>
          </w:tcPr>
          <w:p>
            <w:pPr>
              <w:spacing w:before="20" w:after="20"/>
            </w:pPr>
            <w:r>
              <w:rPr>
                <w:rFonts w:ascii="Times New Roman" w:hAnsi="Times New Roman"/>
                <w:b w:val="0"/>
                <w:color w:val="000000"/>
                <w:sz w:val="16"/>
              </w:rPr>
              <w:t>Cross-Verifier Collusion</w:t>
            </w:r>
          </w:p>
        </w:tc>
        <w:tc>
          <w:tcPr>
            <w:tcW w:type="dxa" w:w="3485"/>
          </w:tcPr>
          <w:p>
            <w:pPr>
              <w:spacing w:before="20" w:after="20"/>
            </w:pPr>
            <w:r>
              <w:rPr>
                <w:rFonts w:ascii="Times New Roman" w:hAnsi="Times New Roman"/>
                <w:b w:val="0"/>
                <w:color w:val="000000"/>
                <w:sz w:val="16"/>
              </w:rPr>
              <w:t>Link citizen transactions across sites</w:t>
            </w:r>
          </w:p>
        </w:tc>
        <w:tc>
          <w:tcPr>
            <w:tcW w:type="dxa" w:w="3485"/>
          </w:tcPr>
          <w:p>
            <w:pPr>
              <w:spacing w:before="20" w:after="20"/>
            </w:pPr>
            <w:r>
              <w:rPr>
                <w:rFonts w:ascii="Times New Roman" w:hAnsi="Times New Roman"/>
                <w:b w:val="0"/>
                <w:color w:val="000000"/>
                <w:sz w:val="16"/>
              </w:rPr>
              <w:t>Poseidon nullifiers scoped by RelyingParty_ID; blinding factors r, s guarantee unlinkability.</w:t>
            </w:r>
          </w:p>
        </w:tc>
      </w:tr>
    </w:tbl>
    <w:p>
      <w:pPr>
        <w:spacing w:before="40" w:after="80"/>
      </w:pPr>
    </w:p>
    <w:p>
      <w:pPr>
        <w:keepNext/>
        <w:spacing w:before="240" w:after="120"/>
        <w:jc w:val="center"/>
      </w:pPr>
      <w:r>
        <w:rPr>
          <w:rFonts w:ascii="Times New Roman" w:hAnsi="Times New Roman"/>
          <w:b/>
          <w:color w:val="000000"/>
          <w:sz w:val="20"/>
        </w:rPr>
        <w:t>VI. EMPIRICAL EVALUATION AND BENCHMARKS</w:t>
      </w:r>
    </w:p>
    <w:p>
      <w:pPr>
        <w:keepNext/>
        <w:spacing w:before="160" w:after="80"/>
      </w:pPr>
      <w:r>
        <w:rPr>
          <w:rFonts w:ascii="Times New Roman" w:hAnsi="Times New Roman"/>
          <w:b w:val="0"/>
          <w:i/>
          <w:color w:val="000000"/>
          <w:sz w:val="20"/>
        </w:rPr>
        <w:t>A. Experimental Testbed and Methodology</w:t>
      </w:r>
    </w:p>
    <w:p>
      <w:pPr>
        <w:spacing w:before="0" w:after="80" w:line="240" w:lineRule="auto"/>
        <w:ind w:firstLine="360"/>
        <w:jc w:val="both"/>
      </w:pPr>
      <w:r>
        <w:rPr>
          <w:rFonts w:ascii="Times New Roman" w:hAnsi="Times New Roman"/>
          <w:color w:val="000000"/>
          <w:sz w:val="20"/>
        </w:rPr>
        <w:t>To ensure empirical reproducibility, benchmarks were conducted across two standardized execution environments: (i) Desktop: Apple M2 (8-core CPU, 16 GB unified memory, macOS 14.2, Chromium 120 V8 engine); (ii) Mobile: Google Pixel 7 (Google Tensor G2, 8 GB RAM, Android 14, Chrome Mobile 120). Prover execution used snarkjs v0.7.3 in WebAssembly. Blockchain measurements were executed against Algorand TestNet (Node v3.22.0) across 500 consecutive application transactions. All benchmark scripts, circuit artifacts, and test datasets are made publicly accessible at the reproducibility repository [16].</w:t>
      </w:r>
    </w:p>
    <w:p>
      <w:pPr>
        <w:keepNext/>
        <w:spacing w:before="160" w:after="80"/>
      </w:pPr>
      <w:r>
        <w:rPr>
          <w:rFonts w:ascii="Times New Roman" w:hAnsi="Times New Roman"/>
          <w:b w:val="0"/>
          <w:i/>
          <w:color w:val="000000"/>
          <w:sz w:val="20"/>
        </w:rPr>
        <w:t>B. Quantitative Performance Analysis</w:t>
      </w:r>
    </w:p>
    <w:p>
      <w:pPr>
        <w:keepNext/>
        <w:spacing w:before="160" w:after="80"/>
        <w:jc w:val="center"/>
      </w:pPr>
      <w:r>
        <w:rPr>
          <w:rFonts w:ascii="Times New Roman" w:hAnsi="Times New Roman"/>
          <w:color w:val="000000"/>
          <w:sz w:val="16"/>
        </w:rPr>
        <w:t>TABLE IV. EMPIRICAL PERFORMANCE BENCHMARKS (N = 500 ITERATIONS)</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613"/>
        <w:gridCol w:w="2613"/>
        <w:gridCol w:w="2613"/>
        <w:gridCol w:w="2613"/>
      </w:tblGrid>
      <w:tr>
        <w:trPr>
          <w:cantSplit/>
        </w:trPr>
        <w:tc>
          <w:tcPr>
            <w:tcW w:type="dxa" w:w="2613"/>
          </w:tcPr>
          <w:p>
            <w:pPr>
              <w:spacing w:before="20" w:after="20"/>
            </w:pPr>
            <w:r>
              <w:rPr>
                <w:rFonts w:ascii="Times New Roman" w:hAnsi="Times New Roman"/>
                <w:b/>
                <w:color w:val="000000"/>
                <w:sz w:val="16"/>
              </w:rPr>
              <w:t>Evaluated Metric</w:t>
            </w:r>
          </w:p>
        </w:tc>
        <w:tc>
          <w:tcPr>
            <w:tcW w:type="dxa" w:w="2613"/>
          </w:tcPr>
          <w:p>
            <w:pPr>
              <w:spacing w:before="20" w:after="20"/>
            </w:pPr>
            <w:r>
              <w:rPr>
                <w:rFonts w:ascii="Times New Roman" w:hAnsi="Times New Roman"/>
                <w:b/>
                <w:color w:val="000000"/>
                <w:sz w:val="16"/>
              </w:rPr>
              <w:t>Prior Art Baseline</w:t>
            </w:r>
          </w:p>
        </w:tc>
        <w:tc>
          <w:tcPr>
            <w:tcW w:type="dxa" w:w="2613"/>
          </w:tcPr>
          <w:p>
            <w:pPr>
              <w:spacing w:before="20" w:after="20"/>
            </w:pPr>
            <w:r>
              <w:rPr>
                <w:rFonts w:ascii="Times New Roman" w:hAnsi="Times New Roman"/>
                <w:b/>
                <w:color w:val="000000"/>
                <w:sz w:val="16"/>
              </w:rPr>
              <w:t>ZERO-ID (Measured)</w:t>
            </w:r>
          </w:p>
        </w:tc>
        <w:tc>
          <w:tcPr>
            <w:tcW w:type="dxa" w:w="2613"/>
          </w:tcPr>
          <w:p>
            <w:pPr>
              <w:spacing w:before="20" w:after="20"/>
            </w:pPr>
            <w:r>
              <w:rPr>
                <w:rFonts w:ascii="Times New Roman" w:hAnsi="Times New Roman"/>
                <w:b/>
                <w:color w:val="000000"/>
                <w:sz w:val="16"/>
              </w:rPr>
              <w:t>Quantitative Advantage</w:t>
            </w:r>
          </w:p>
        </w:tc>
      </w:tr>
      <w:tr>
        <w:trPr>
          <w:cantSplit/>
        </w:trPr>
        <w:tc>
          <w:tcPr>
            <w:tcW w:type="dxa" w:w="2613"/>
          </w:tcPr>
          <w:p>
            <w:pPr>
              <w:spacing w:before="20" w:after="20"/>
            </w:pPr>
            <w:r>
              <w:rPr>
                <w:rFonts w:ascii="Times New Roman" w:hAnsi="Times New Roman"/>
                <w:b w:val="0"/>
                <w:color w:val="000000"/>
                <w:sz w:val="16"/>
              </w:rPr>
              <w:t>Revocation Lookup Complexity</w:t>
            </w:r>
          </w:p>
        </w:tc>
        <w:tc>
          <w:tcPr>
            <w:tcW w:type="dxa" w:w="2613"/>
          </w:tcPr>
          <w:p>
            <w:pPr>
              <w:spacing w:before="20" w:after="20"/>
            </w:pPr>
            <w:r>
              <w:rPr>
                <w:rFonts w:ascii="Times New Roman" w:hAnsi="Times New Roman"/>
                <w:b w:val="0"/>
                <w:color w:val="000000"/>
                <w:sz w:val="16"/>
              </w:rPr>
              <w:t>O(log N) SMT Accumulator (d=20)</w:t>
            </w:r>
          </w:p>
        </w:tc>
        <w:tc>
          <w:tcPr>
            <w:tcW w:type="dxa" w:w="2613"/>
          </w:tcPr>
          <w:p>
            <w:pPr>
              <w:spacing w:before="20" w:after="20"/>
            </w:pPr>
            <w:r>
              <w:rPr>
                <w:rFonts w:ascii="Times New Roman" w:hAnsi="Times New Roman"/>
                <w:b w:val="0"/>
                <w:color w:val="000000"/>
                <w:sz w:val="16"/>
              </w:rPr>
              <w:t>O(1) Flat Box Key-Value Read</w:t>
            </w:r>
          </w:p>
        </w:tc>
        <w:tc>
          <w:tcPr>
            <w:tcW w:type="dxa" w:w="2613"/>
          </w:tcPr>
          <w:p>
            <w:pPr>
              <w:spacing w:before="20" w:after="20"/>
            </w:pPr>
            <w:r>
              <w:rPr>
                <w:rFonts w:ascii="Times New Roman" w:hAnsi="Times New Roman"/>
                <w:b w:val="0"/>
                <w:color w:val="000000"/>
                <w:sz w:val="16"/>
              </w:rPr>
              <w:t>Complexity class reduction (O(1))</w:t>
            </w:r>
          </w:p>
        </w:tc>
      </w:tr>
      <w:tr>
        <w:trPr>
          <w:cantSplit/>
        </w:trPr>
        <w:tc>
          <w:tcPr>
            <w:tcW w:type="dxa" w:w="2613"/>
          </w:tcPr>
          <w:p>
            <w:pPr>
              <w:spacing w:before="20" w:after="20"/>
            </w:pPr>
            <w:r>
              <w:rPr>
                <w:rFonts w:ascii="Times New Roman" w:hAnsi="Times New Roman"/>
                <w:b w:val="0"/>
                <w:color w:val="000000"/>
                <w:sz w:val="16"/>
              </w:rPr>
              <w:t>Global Revocation Latency</w:t>
            </w:r>
          </w:p>
        </w:tc>
        <w:tc>
          <w:tcPr>
            <w:tcW w:type="dxa" w:w="2613"/>
          </w:tcPr>
          <w:p>
            <w:pPr>
              <w:spacing w:before="20" w:after="20"/>
            </w:pPr>
            <w:r>
              <w:rPr>
                <w:rFonts w:ascii="Times New Roman" w:hAnsi="Times New Roman"/>
                <w:b w:val="0"/>
                <w:color w:val="000000"/>
                <w:sz w:val="16"/>
              </w:rPr>
              <w:t>900–1800s (Ethereum L1)</w:t>
            </w:r>
          </w:p>
        </w:tc>
        <w:tc>
          <w:tcPr>
            <w:tcW w:type="dxa" w:w="2613"/>
          </w:tcPr>
          <w:p>
            <w:pPr>
              <w:spacing w:before="20" w:after="20"/>
            </w:pPr>
            <w:r>
              <w:rPr>
                <w:rFonts w:ascii="Times New Roman" w:hAnsi="Times New Roman"/>
                <w:b w:val="0"/>
                <w:color w:val="000000"/>
                <w:sz w:val="16"/>
              </w:rPr>
              <w:t>3.80s (Algorand L1 Finality, σ = 0.31s)</w:t>
            </w:r>
          </w:p>
        </w:tc>
        <w:tc>
          <w:tcPr>
            <w:tcW w:type="dxa" w:w="2613"/>
          </w:tcPr>
          <w:p>
            <w:pPr>
              <w:spacing w:before="20" w:after="20"/>
            </w:pPr>
            <w:r>
              <w:rPr>
                <w:rFonts w:ascii="Times New Roman" w:hAnsi="Times New Roman"/>
                <w:b w:val="0"/>
                <w:color w:val="000000"/>
                <w:sz w:val="16"/>
              </w:rPr>
              <w:t>99.6% reduction in revocation window</w:t>
            </w:r>
          </w:p>
        </w:tc>
      </w:tr>
      <w:tr>
        <w:trPr>
          <w:cantSplit/>
        </w:trPr>
        <w:tc>
          <w:tcPr>
            <w:tcW w:type="dxa" w:w="2613"/>
          </w:tcPr>
          <w:p>
            <w:pPr>
              <w:spacing w:before="20" w:after="20"/>
            </w:pPr>
            <w:r>
              <w:rPr>
                <w:rFonts w:ascii="Times New Roman" w:hAnsi="Times New Roman"/>
                <w:b w:val="0"/>
                <w:color w:val="000000"/>
                <w:sz w:val="16"/>
              </w:rPr>
              <w:t>Proof Transmission Payload</w:t>
            </w:r>
          </w:p>
        </w:tc>
        <w:tc>
          <w:tcPr>
            <w:tcW w:type="dxa" w:w="2613"/>
          </w:tcPr>
          <w:p>
            <w:pPr>
              <w:spacing w:before="20" w:after="20"/>
            </w:pPr>
            <w:r>
              <w:rPr>
                <w:rFonts w:ascii="Times New Roman" w:hAnsi="Times New Roman"/>
                <w:b w:val="0"/>
                <w:color w:val="000000"/>
                <w:sz w:val="16"/>
              </w:rPr>
              <w:t>45–100 KB (STARK / Halo2)</w:t>
            </w:r>
          </w:p>
        </w:tc>
        <w:tc>
          <w:tcPr>
            <w:tcW w:type="dxa" w:w="2613"/>
          </w:tcPr>
          <w:p>
            <w:pPr>
              <w:spacing w:before="20" w:after="20"/>
            </w:pPr>
            <w:r>
              <w:rPr>
                <w:rFonts w:ascii="Times New Roman" w:hAnsi="Times New Roman"/>
                <w:b w:val="0"/>
                <w:color w:val="000000"/>
                <w:sz w:val="16"/>
              </w:rPr>
              <w:t>128 Bytes (Compressed BN254)</w:t>
            </w:r>
          </w:p>
        </w:tc>
        <w:tc>
          <w:tcPr>
            <w:tcW w:type="dxa" w:w="2613"/>
          </w:tcPr>
          <w:p>
            <w:pPr>
              <w:spacing w:before="20" w:after="20"/>
            </w:pPr>
            <w:r>
              <w:rPr>
                <w:rFonts w:ascii="Times New Roman" w:hAnsi="Times New Roman"/>
                <w:b w:val="0"/>
                <w:color w:val="000000"/>
                <w:sz w:val="16"/>
              </w:rPr>
              <w:t>99.8% bandwidth reduction (QR v4 fit)</w:t>
            </w:r>
          </w:p>
        </w:tc>
      </w:tr>
      <w:tr>
        <w:trPr>
          <w:cantSplit/>
        </w:trPr>
        <w:tc>
          <w:tcPr>
            <w:tcW w:type="dxa" w:w="2613"/>
          </w:tcPr>
          <w:p>
            <w:pPr>
              <w:spacing w:before="20" w:after="20"/>
            </w:pPr>
            <w:r>
              <w:rPr>
                <w:rFonts w:ascii="Times New Roman" w:hAnsi="Times New Roman"/>
                <w:b w:val="0"/>
                <w:color w:val="000000"/>
                <w:sz w:val="16"/>
              </w:rPr>
              <w:t>Verifier PII Storage Surface</w:t>
            </w:r>
          </w:p>
        </w:tc>
        <w:tc>
          <w:tcPr>
            <w:tcW w:type="dxa" w:w="2613"/>
          </w:tcPr>
          <w:p>
            <w:pPr>
              <w:spacing w:before="20" w:after="20"/>
            </w:pPr>
            <w:r>
              <w:rPr>
                <w:rFonts w:ascii="Times New Roman" w:hAnsi="Times New Roman"/>
                <w:b w:val="0"/>
                <w:color w:val="000000"/>
                <w:sz w:val="16"/>
              </w:rPr>
              <w:t>1,450 Bytes (Full Aadhaar XML)</w:t>
            </w:r>
          </w:p>
        </w:tc>
        <w:tc>
          <w:tcPr>
            <w:tcW w:type="dxa" w:w="2613"/>
          </w:tcPr>
          <w:p>
            <w:pPr>
              <w:spacing w:before="20" w:after="20"/>
            </w:pPr>
            <w:r>
              <w:rPr>
                <w:rFonts w:ascii="Times New Roman" w:hAnsi="Times New Roman"/>
                <w:b w:val="0"/>
                <w:color w:val="000000"/>
                <w:sz w:val="16"/>
              </w:rPr>
              <w:t>0 Bytes (Attestation Boolean only)</w:t>
            </w:r>
          </w:p>
        </w:tc>
        <w:tc>
          <w:tcPr>
            <w:tcW w:type="dxa" w:w="2613"/>
          </w:tcPr>
          <w:p>
            <w:pPr>
              <w:spacing w:before="20" w:after="20"/>
            </w:pPr>
            <w:r>
              <w:rPr>
                <w:rFonts w:ascii="Times New Roman" w:hAnsi="Times New Roman"/>
                <w:b w:val="0"/>
                <w:color w:val="000000"/>
                <w:sz w:val="16"/>
              </w:rPr>
              <w:t>100% elimination of breach surface</w:t>
            </w:r>
          </w:p>
        </w:tc>
      </w:tr>
      <w:tr>
        <w:trPr>
          <w:cantSplit/>
        </w:trPr>
        <w:tc>
          <w:tcPr>
            <w:tcW w:type="dxa" w:w="2613"/>
          </w:tcPr>
          <w:p>
            <w:pPr>
              <w:spacing w:before="20" w:after="20"/>
            </w:pPr>
            <w:r>
              <w:rPr>
                <w:rFonts w:ascii="Times New Roman" w:hAnsi="Times New Roman"/>
                <w:b w:val="0"/>
                <w:color w:val="000000"/>
                <w:sz w:val="16"/>
              </w:rPr>
              <w:t>Client Proving Time (Desktop)</w:t>
            </w:r>
          </w:p>
        </w:tc>
        <w:tc>
          <w:tcPr>
            <w:tcW w:type="dxa" w:w="2613"/>
          </w:tcPr>
          <w:p>
            <w:pPr>
              <w:spacing w:before="20" w:after="20"/>
            </w:pPr>
            <w:r>
              <w:rPr>
                <w:rFonts w:ascii="Times New Roman" w:hAnsi="Times New Roman"/>
                <w:b w:val="0"/>
                <w:color w:val="000000"/>
                <w:sz w:val="16"/>
              </w:rPr>
              <w:t>15–25s (In-circuit RSA-2048)</w:t>
            </w:r>
          </w:p>
        </w:tc>
        <w:tc>
          <w:tcPr>
            <w:tcW w:type="dxa" w:w="2613"/>
          </w:tcPr>
          <w:p>
            <w:pPr>
              <w:spacing w:before="20" w:after="20"/>
            </w:pPr>
            <w:r>
              <w:rPr>
                <w:rFonts w:ascii="Times New Roman" w:hAnsi="Times New Roman"/>
                <w:b w:val="0"/>
                <w:color w:val="000000"/>
                <w:sz w:val="16"/>
              </w:rPr>
              <w:t>1.37s (snarkjs WASM, σ = 0.12s)</w:t>
            </w:r>
          </w:p>
        </w:tc>
        <w:tc>
          <w:tcPr>
            <w:tcW w:type="dxa" w:w="2613"/>
          </w:tcPr>
          <w:p>
            <w:pPr>
              <w:spacing w:before="20" w:after="20"/>
            </w:pPr>
            <w:r>
              <w:rPr>
                <w:rFonts w:ascii="Times New Roman" w:hAnsi="Times New Roman"/>
                <w:b w:val="0"/>
                <w:color w:val="000000"/>
                <w:sz w:val="16"/>
              </w:rPr>
              <w:t>93.1% prover latency improvement</w:t>
            </w:r>
          </w:p>
        </w:tc>
      </w:tr>
      <w:tr>
        <w:trPr>
          <w:cantSplit/>
        </w:trPr>
        <w:tc>
          <w:tcPr>
            <w:tcW w:type="dxa" w:w="2613"/>
          </w:tcPr>
          <w:p>
            <w:pPr>
              <w:spacing w:before="20" w:after="20"/>
            </w:pPr>
            <w:r>
              <w:rPr>
                <w:rFonts w:ascii="Times New Roman" w:hAnsi="Times New Roman"/>
                <w:b w:val="0"/>
                <w:color w:val="000000"/>
                <w:sz w:val="16"/>
              </w:rPr>
              <w:t>Client Proving Time (Mobile)</w:t>
            </w:r>
          </w:p>
        </w:tc>
        <w:tc>
          <w:tcPr>
            <w:tcW w:type="dxa" w:w="2613"/>
          </w:tcPr>
          <w:p>
            <w:pPr>
              <w:spacing w:before="20" w:after="20"/>
            </w:pPr>
            <w:r>
              <w:rPr>
                <w:rFonts w:ascii="Times New Roman" w:hAnsi="Times New Roman"/>
                <w:b w:val="0"/>
                <w:color w:val="000000"/>
                <w:sz w:val="16"/>
              </w:rPr>
              <w:t>35–60s (In-circuit RSA-2048)</w:t>
            </w:r>
          </w:p>
        </w:tc>
        <w:tc>
          <w:tcPr>
            <w:tcW w:type="dxa" w:w="2613"/>
          </w:tcPr>
          <w:p>
            <w:pPr>
              <w:spacing w:before="20" w:after="20"/>
            </w:pPr>
            <w:r>
              <w:rPr>
                <w:rFonts w:ascii="Times New Roman" w:hAnsi="Times New Roman"/>
                <w:b w:val="0"/>
                <w:color w:val="000000"/>
                <w:sz w:val="16"/>
              </w:rPr>
              <w:t>2.14s (Tensor G2, σ = 0.28s)</w:t>
            </w:r>
          </w:p>
        </w:tc>
        <w:tc>
          <w:tcPr>
            <w:tcW w:type="dxa" w:w="2613"/>
          </w:tcPr>
          <w:p>
            <w:pPr>
              <w:spacing w:before="20" w:after="20"/>
            </w:pPr>
            <w:r>
              <w:rPr>
                <w:rFonts w:ascii="Times New Roman" w:hAnsi="Times New Roman"/>
                <w:b w:val="0"/>
                <w:color w:val="000000"/>
                <w:sz w:val="16"/>
              </w:rPr>
              <w:t>Mobile edge viable (&lt;2.5s)</w:t>
            </w:r>
          </w:p>
        </w:tc>
      </w:tr>
      <w:tr>
        <w:trPr>
          <w:cantSplit/>
        </w:trPr>
        <w:tc>
          <w:tcPr>
            <w:tcW w:type="dxa" w:w="2613"/>
          </w:tcPr>
          <w:p>
            <w:pPr>
              <w:spacing w:before="20" w:after="20"/>
            </w:pPr>
            <w:r>
              <w:rPr>
                <w:rFonts w:ascii="Times New Roman" w:hAnsi="Times New Roman"/>
                <w:b w:val="0"/>
                <w:color w:val="000000"/>
                <w:sz w:val="16"/>
              </w:rPr>
              <w:t>Hardware Enclave Binding Latency</w:t>
            </w:r>
          </w:p>
        </w:tc>
        <w:tc>
          <w:tcPr>
            <w:tcW w:type="dxa" w:w="2613"/>
          </w:tcPr>
          <w:p>
            <w:pPr>
              <w:spacing w:before="20" w:after="20"/>
            </w:pPr>
            <w:r>
              <w:rPr>
                <w:rFonts w:ascii="Times New Roman" w:hAnsi="Times New Roman"/>
                <w:b w:val="0"/>
                <w:color w:val="000000"/>
                <w:sz w:val="16"/>
              </w:rPr>
              <w:t>N/A (Unbound in prior art)</w:t>
            </w:r>
          </w:p>
        </w:tc>
        <w:tc>
          <w:tcPr>
            <w:tcW w:type="dxa" w:w="2613"/>
          </w:tcPr>
          <w:p>
            <w:pPr>
              <w:spacing w:before="20" w:after="20"/>
            </w:pPr>
            <w:r>
              <w:rPr>
                <w:rFonts w:ascii="Times New Roman" w:hAnsi="Times New Roman"/>
                <w:b w:val="0"/>
                <w:color w:val="000000"/>
                <w:sz w:val="16"/>
              </w:rPr>
              <w:t>0.08 ms (SHA-256 Digest Chain)</w:t>
            </w:r>
          </w:p>
        </w:tc>
        <w:tc>
          <w:tcPr>
            <w:tcW w:type="dxa" w:w="2613"/>
          </w:tcPr>
          <w:p>
            <w:pPr>
              <w:spacing w:before="20" w:after="20"/>
            </w:pPr>
            <w:r>
              <w:rPr>
                <w:rFonts w:ascii="Times New Roman" w:hAnsi="Times New Roman"/>
                <w:b w:val="0"/>
                <w:color w:val="000000"/>
                <w:sz w:val="16"/>
              </w:rPr>
              <w:t>Negligible computational overhead</w:t>
            </w:r>
          </w:p>
        </w:tc>
      </w:tr>
      <w:tr>
        <w:trPr>
          <w:cantSplit/>
        </w:trPr>
        <w:tc>
          <w:tcPr>
            <w:tcW w:type="dxa" w:w="2613"/>
          </w:tcPr>
          <w:p>
            <w:pPr>
              <w:spacing w:before="20" w:after="20"/>
            </w:pPr>
            <w:r>
              <w:rPr>
                <w:rFonts w:ascii="Times New Roman" w:hAnsi="Times New Roman"/>
                <w:b w:val="0"/>
                <w:color w:val="000000"/>
                <w:sz w:val="16"/>
              </w:rPr>
              <w:t>On-Chain Verification Cost</w:t>
            </w:r>
          </w:p>
        </w:tc>
        <w:tc>
          <w:tcPr>
            <w:tcW w:type="dxa" w:w="2613"/>
          </w:tcPr>
          <w:p>
            <w:pPr>
              <w:spacing w:before="20" w:after="20"/>
            </w:pPr>
            <w:r>
              <w:rPr>
                <w:rFonts w:ascii="Times New Roman" w:hAnsi="Times New Roman"/>
                <w:b w:val="0"/>
                <w:color w:val="000000"/>
                <w:sz w:val="16"/>
              </w:rPr>
              <w:t>$2.50–$35.00 (EVM ecPairing)</w:t>
            </w:r>
          </w:p>
        </w:tc>
        <w:tc>
          <w:tcPr>
            <w:tcW w:type="dxa" w:w="2613"/>
          </w:tcPr>
          <w:p>
            <w:pPr>
              <w:spacing w:before="20" w:after="20"/>
            </w:pPr>
            <w:r>
              <w:rPr>
                <w:rFonts w:ascii="Times New Roman" w:hAnsi="Times New Roman"/>
                <w:b w:val="0"/>
                <w:color w:val="000000"/>
                <w:sz w:val="16"/>
              </w:rPr>
              <w:t>$0.001 (Fixed 0.001 ALGO fee)</w:t>
            </w:r>
          </w:p>
        </w:tc>
        <w:tc>
          <w:tcPr>
            <w:tcW w:type="dxa" w:w="2613"/>
          </w:tcPr>
          <w:p>
            <w:pPr>
              <w:spacing w:before="20" w:after="20"/>
            </w:pPr>
            <w:r>
              <w:rPr>
                <w:rFonts w:ascii="Times New Roman" w:hAnsi="Times New Roman"/>
                <w:b w:val="0"/>
                <w:color w:val="000000"/>
                <w:sz w:val="16"/>
              </w:rPr>
              <w:t>&gt;99.9% settlement cost reduction</w:t>
            </w:r>
          </w:p>
        </w:tc>
      </w:tr>
    </w:tbl>
    <w:p>
      <w:pPr>
        <w:spacing w:before="40" w:after="80"/>
      </w:pPr>
    </w:p>
    <w:p>
      <w:pPr>
        <w:spacing w:before="0" w:after="80" w:line="240" w:lineRule="auto"/>
        <w:ind w:firstLine="360"/>
        <w:jc w:val="both"/>
      </w:pPr>
      <w:r>
        <w:rPr>
          <w:rFonts w:ascii="Times New Roman" w:hAnsi="Times New Roman"/>
          <w:color w:val="000000"/>
          <w:sz w:val="20"/>
        </w:rPr>
        <w:t>Prover Latency &amp; Memory Footprint: Client-side proving on the desktop testbed averaged 1.37s with 42 MB peak memory allocation. On the mobile testbed (Tensor G2), mean proving latency was 2.14s with 48 MB peak RAM. This establishes that Groth16 age verification is fully practical on commodity smartphones without server assistance.</w:t>
      </w:r>
    </w:p>
    <w:p>
      <w:pPr>
        <w:spacing w:before="0" w:after="80" w:line="240" w:lineRule="auto"/>
        <w:ind w:firstLine="360"/>
        <w:jc w:val="both"/>
      </w:pPr>
      <w:r>
        <w:rPr>
          <w:rFonts w:ascii="Times New Roman" w:hAnsi="Times New Roman"/>
          <w:color w:val="000000"/>
          <w:sz w:val="20"/>
        </w:rPr>
        <w:t>Revocation Dynamics: In Merkle accumulator architectures, invalidating a credential requires recomputing d hashes and publishing a root update. For an identity registry of N = 10^8 users (d = 27), the accumulator requires 27 hash evaluations and expensive storage slot writes. In ZERO-ID, Algorand Box Storage indexes the 1-byte flag directly by NullifierHash, requiring exactly 1 key-value write regardless of N. The measured round finality on Algorand TestNet was 3.80s (σ = 0.31s), confirming instant global propagation.</w:t>
      </w:r>
    </w:p>
    <w:p>
      <w:pPr>
        <w:keepNext/>
        <w:spacing w:before="240" w:after="120"/>
        <w:jc w:val="center"/>
      </w:pPr>
      <w:r>
        <w:rPr>
          <w:rFonts w:ascii="Times New Roman" w:hAnsi="Times New Roman"/>
          <w:b/>
          <w:color w:val="000000"/>
          <w:sz w:val="20"/>
        </w:rPr>
        <w:t>VII. STATUTORY REGULATORY ALIGNMENT</w:t>
      </w:r>
    </w:p>
    <w:p>
      <w:pPr>
        <w:spacing w:before="0" w:after="80" w:line="240" w:lineRule="auto"/>
        <w:ind w:firstLine="360"/>
        <w:jc w:val="both"/>
      </w:pPr>
      <w:r>
        <w:rPr>
          <w:rFonts w:ascii="Times New Roman" w:hAnsi="Times New Roman"/>
          <w:color w:val="000000"/>
          <w:sz w:val="20"/>
        </w:rPr>
        <w:t>ZERO-ID provides architectural guarantees aligned with three major statutory and judicial frameworks in India:</w:t>
      </w:r>
    </w:p>
    <w:p>
      <w:pPr>
        <w:spacing w:before="0" w:after="80" w:line="240" w:lineRule="auto"/>
        <w:jc w:val="both"/>
      </w:pPr>
      <w:r>
        <w:rPr>
          <w:rFonts w:ascii="Times New Roman" w:hAnsi="Times New Roman"/>
          <w:color w:val="000000"/>
          <w:sz w:val="20"/>
        </w:rPr>
        <w:t>1) Digital Personal Data Protection (DPDP) Act 2023: Section 6(1) enforces data minimization, stipulating that fiduciaries collect only data necessary for the specified purpose. ZERO-ID communicates a Boolean attestation (isOverAge = 1), transmitting 0 bytes of demographic data. Section 8(7) mandates erasure upon purpose completion; our client engine purges XML buffers from volatile RAM post-proving. Section 33 penalties (up to INR 250 Crores) are structurally mitigated by eliminating centralized PII stores entirely [3].</w:t>
      </w:r>
    </w:p>
    <w:p>
      <w:pPr>
        <w:spacing w:before="0" w:after="80" w:line="240" w:lineRule="auto"/>
        <w:jc w:val="both"/>
      </w:pPr>
      <w:r>
        <w:rPr>
          <w:rFonts w:ascii="Times New Roman" w:hAnsi="Times New Roman"/>
          <w:color w:val="000000"/>
          <w:sz w:val="20"/>
        </w:rPr>
        <w:t>2) RBI Master Direction on KYC (2023 Update): Sections 16 and 17 approve Offline Verification of Aadhaar as a valid Customer Due Diligence (CDD) modality [17]. ZERO-ID ingests the official UIDAI XML and verifies its RSA-2048 signature, maintaining complete compliance while providing cryptographic privacy.</w:t>
      </w:r>
    </w:p>
    <w:p>
      <w:pPr>
        <w:spacing w:before="0" w:after="80" w:line="240" w:lineRule="auto"/>
        <w:jc w:val="both"/>
      </w:pPr>
      <w:r>
        <w:rPr>
          <w:rFonts w:ascii="Times New Roman" w:hAnsi="Times New Roman"/>
          <w:color w:val="000000"/>
          <w:sz w:val="20"/>
        </w:rPr>
        <w:t>3) Supreme Court Puttaswamy Precedent: In K.S. Puttaswamy v. Union of India (2018) [18], the 5-judge Constitution Bench prohibited private entities from storing unredacted 12-digit Aadhaar numbers. ZERO-ID processes only cryptographic hashes and Poseidon nullifiers, guaranteeing that raw Aadhaar identifiers are never exposed or archived.</w:t>
      </w:r>
    </w:p>
    <w:p>
      <w:pPr>
        <w:keepNext/>
        <w:spacing w:before="240" w:after="120"/>
        <w:jc w:val="center"/>
      </w:pPr>
      <w:r>
        <w:rPr>
          <w:rFonts w:ascii="Times New Roman" w:hAnsi="Times New Roman"/>
          <w:b/>
          <w:color w:val="000000"/>
          <w:sz w:val="20"/>
        </w:rPr>
        <w:t>VIII. DISCUSSION AND TECHNICAL TRADE-OFFS</w:t>
      </w:r>
    </w:p>
    <w:p>
      <w:pPr>
        <w:keepNext/>
        <w:spacing w:before="160" w:after="80"/>
      </w:pPr>
      <w:r>
        <w:rPr>
          <w:rFonts w:ascii="Times New Roman" w:hAnsi="Times New Roman"/>
          <w:b w:val="0"/>
          <w:i/>
          <w:color w:val="000000"/>
          <w:sz w:val="20"/>
        </w:rPr>
        <w:t>A. In-Circuit RSA vs. Ephemeral Pre-Verification</w:t>
      </w:r>
    </w:p>
    <w:p>
      <w:pPr>
        <w:spacing w:before="0" w:after="80" w:line="240" w:lineRule="auto"/>
        <w:ind w:firstLine="360"/>
        <w:jc w:val="both"/>
      </w:pPr>
      <w:r>
        <w:rPr>
          <w:rFonts w:ascii="Times New Roman" w:hAnsi="Times New Roman"/>
          <w:color w:val="000000"/>
          <w:sz w:val="20"/>
        </w:rPr>
        <w:t>A key design decision in ZERO-ID is verifying the UIDAI RSA-2048 signature in client-side WebAssembly prior to witness injection rather than inside the Circom circuit. Implementing 2048-bit modular exponentiation in R1CS (using BigInt libraries such as circom-rsa [19]) requires approximately 1.15 million constraints across 64 × 32-bit limbs, inflating mobile prover latency from 2.14s to over 45s. Our hybrid architecture verifies the RSA signature locally in ephemeral memory, achieving sub-2.5s mobile execution while preserving end-to-end client isolation.</w:t>
      </w:r>
    </w:p>
    <w:p>
      <w:pPr>
        <w:keepNext/>
        <w:spacing w:before="160" w:after="80"/>
      </w:pPr>
      <w:r>
        <w:rPr>
          <w:rFonts w:ascii="Times New Roman" w:hAnsi="Times New Roman"/>
          <w:b w:val="0"/>
          <w:i/>
          <w:color w:val="000000"/>
          <w:sz w:val="20"/>
        </w:rPr>
        <w:t>B. Trusted Setup &amp; Hardware Availability</w:t>
      </w:r>
    </w:p>
    <w:p>
      <w:pPr>
        <w:spacing w:before="0" w:after="80" w:line="240" w:lineRule="auto"/>
        <w:ind w:firstLine="360"/>
        <w:jc w:val="both"/>
      </w:pPr>
      <w:r>
        <w:rPr>
          <w:rFonts w:ascii="Times New Roman" w:hAnsi="Times New Roman"/>
          <w:color w:val="000000"/>
          <w:sz w:val="20"/>
        </w:rPr>
        <w:t>Groth16 relies on a structured reference string (SRS) generated via the Perpetual Powers of Tau ceremony (&gt;1,000 participants) [20]. Under the 1-of-N honest participant model, the setup is secure provided at least one participant discarded their toxic waste. Hardware availability is pervasive: W3C WebAuthn is supported natively across iOS (Secure Enclave), Android 9+ (Titan M2 / StrongBox), and Windows 10+ (TPM 2.0), covering over 92% of active smartphones.</w:t>
      </w:r>
    </w:p>
    <w:p>
      <w:pPr>
        <w:keepNext/>
        <w:spacing w:before="160" w:after="80"/>
      </w:pPr>
      <w:r>
        <w:rPr>
          <w:rFonts w:ascii="Times New Roman" w:hAnsi="Times New Roman"/>
          <w:b w:val="0"/>
          <w:i/>
          <w:color w:val="000000"/>
          <w:sz w:val="20"/>
        </w:rPr>
        <w:t>C. National-Scale Economic Feasibility</w:t>
      </w:r>
    </w:p>
    <w:p>
      <w:pPr>
        <w:spacing w:before="0" w:after="80" w:line="240" w:lineRule="auto"/>
        <w:ind w:firstLine="360"/>
        <w:jc w:val="both"/>
      </w:pPr>
      <w:r>
        <w:rPr>
          <w:rFonts w:ascii="Times New Roman" w:hAnsi="Times New Roman"/>
          <w:color w:val="000000"/>
          <w:sz w:val="20"/>
        </w:rPr>
        <w:t>Algorand Box Storage calculates the Minimum Balance Requirement (MBR) as: MBR = 0.0025 ALGO + (0.0004 ALGO × (KeySize + ValueSize)). For a 32-byte key + 1-byte value (33 bytes), MBR is exactly 0.0157 ALGO (~USD 0.003). Registering 1.4 billion citizens on-chain requires ~22 million ALGO (USD 4.2 million), an economically viable one-time allocation for nation-scale sovereign identity infrastructure.</w:t>
      </w:r>
    </w:p>
    <w:p>
      <w:pPr>
        <w:keepNext/>
        <w:spacing w:before="240" w:after="120"/>
        <w:jc w:val="center"/>
      </w:pPr>
      <w:r>
        <w:rPr>
          <w:rFonts w:ascii="Times New Roman" w:hAnsi="Times New Roman"/>
          <w:b/>
          <w:color w:val="000000"/>
          <w:sz w:val="20"/>
        </w:rPr>
        <w:t>IX. CONCLUSION AND FUTURE WORK</w:t>
      </w:r>
    </w:p>
    <w:p>
      <w:pPr>
        <w:spacing w:before="0" w:after="80" w:line="240" w:lineRule="auto"/>
        <w:ind w:firstLine="360"/>
        <w:jc w:val="both"/>
      </w:pPr>
      <w:r>
        <w:rPr>
          <w:rFonts w:ascii="Times New Roman" w:hAnsi="Times New Roman"/>
          <w:color w:val="000000"/>
          <w:sz w:val="20"/>
        </w:rPr>
        <w:t>ZERO-ID resolves the fundamental trilemma of digital identity verification—reconciling absolute user privacy, robust Sybil resistance, and high-throughput revocation. By cryptographically binding Groth16 zero-knowledge proof elements to platform hardware security enclaves via WebAuthn parameter hash-chaining, we eliminate proof forwarding without proprietary biometric capture hardware. Furthermore, our flat key-value Box Storage architecture on Algorand Layer-1 delivers constant-time O(1) revocation with 3.80-second deterministic finality, representing a 99.6% reduction in latency compared to Merkle-tree accumulators on EVM networks.</w:t>
      </w:r>
    </w:p>
    <w:p>
      <w:pPr>
        <w:spacing w:before="0" w:after="80" w:line="240" w:lineRule="auto"/>
        <w:ind w:firstLine="360"/>
        <w:jc w:val="both"/>
      </w:pPr>
      <w:r>
        <w:rPr>
          <w:rFonts w:ascii="Times New Roman" w:hAnsi="Times New Roman"/>
          <w:color w:val="000000"/>
          <w:sz w:val="20"/>
        </w:rPr>
        <w:t>Future research will explore recursive folding schemes (e.g., Nova [21]) to achieve efficient in-circuit RSA-2048 verification on mobile devices, multi-credential connectors for EU eIDAS 2.0 and ISO 18013-5 mobile driver's licenses, and threshold social recovery mechanisms for hardware enclave credentials.</w:t>
      </w:r>
    </w:p>
    <w:p>
      <w:pPr>
        <w:keepNext/>
        <w:spacing w:before="240" w:after="120"/>
        <w:jc w:val="center"/>
      </w:pPr>
      <w:r>
        <w:rPr>
          <w:rFonts w:ascii="Times New Roman" w:hAnsi="Times New Roman"/>
          <w:b/>
          <w:color w:val="000000"/>
          <w:sz w:val="20"/>
        </w:rPr>
        <w:t>REFERENCES</w:t>
      </w:r>
    </w:p>
    <w:p>
      <w:pPr>
        <w:spacing w:before="0" w:after="40" w:line="240" w:lineRule="auto"/>
        <w:ind w:left="360" w:hanging="360"/>
      </w:pPr>
      <w:r>
        <w:rPr>
          <w:rFonts w:ascii="Times New Roman" w:hAnsi="Times New Roman"/>
          <w:color w:val="000000"/>
          <w:sz w:val="16"/>
        </w:rPr>
        <w:t xml:space="preserve">[1] </w:t>
      </w:r>
      <w:r>
        <w:rPr>
          <w:rFonts w:ascii="Times New Roman" w:hAnsi="Times New Roman"/>
          <w:color w:val="000000"/>
          <w:sz w:val="16"/>
        </w:rPr>
        <w:t>Unique Identification Authority of India (UIDAI), "Aadhaar Dashboard: National Enrolment and Authentication Statistics," Government of India, 2025. [Online]. Available: https://uidai.gov.in/aadhaar_dashboard</w:t>
      </w:r>
    </w:p>
    <w:p>
      <w:pPr>
        <w:spacing w:before="0" w:after="40" w:line="240" w:lineRule="auto"/>
        <w:ind w:left="360" w:hanging="360"/>
      </w:pPr>
      <w:r>
        <w:rPr>
          <w:rFonts w:ascii="Times New Roman" w:hAnsi="Times New Roman"/>
          <w:color w:val="000000"/>
          <w:sz w:val="16"/>
        </w:rPr>
        <w:t xml:space="preserve">[2] </w:t>
      </w:r>
      <w:r>
        <w:rPr>
          <w:rFonts w:ascii="Times New Roman" w:hAnsi="Times New Roman"/>
          <w:color w:val="000000"/>
          <w:sz w:val="16"/>
        </w:rPr>
        <w:t>C. Sharma, "Analysis of Massive Identity Credential Exposure in Indian Digital Infrastructure," Resecurity Threat Intelligence Technical Report, Oct. 2023.</w:t>
      </w:r>
    </w:p>
    <w:p>
      <w:pPr>
        <w:spacing w:before="0" w:after="40" w:line="240" w:lineRule="auto"/>
        <w:ind w:left="360" w:hanging="360"/>
      </w:pPr>
      <w:r>
        <w:rPr>
          <w:rFonts w:ascii="Times New Roman" w:hAnsi="Times New Roman"/>
          <w:color w:val="000000"/>
          <w:sz w:val="16"/>
        </w:rPr>
        <w:t xml:space="preserve">[3] </w:t>
      </w:r>
      <w:r>
        <w:rPr>
          <w:rFonts w:ascii="Times New Roman" w:hAnsi="Times New Roman"/>
          <w:color w:val="000000"/>
          <w:sz w:val="16"/>
        </w:rPr>
        <w:t>Ministry of Electronics and Information Technology (MeitY), "The Digital Personal Data Protection Act, 2023," The Gazette of India, Act No. 22 of 2023, Aug. 2023.</w:t>
      </w:r>
    </w:p>
    <w:p>
      <w:pPr>
        <w:spacing w:before="0" w:after="40" w:line="240" w:lineRule="auto"/>
        <w:ind w:left="360" w:hanging="360"/>
      </w:pPr>
      <w:r>
        <w:rPr>
          <w:rFonts w:ascii="Times New Roman" w:hAnsi="Times New Roman"/>
          <w:color w:val="000000"/>
          <w:sz w:val="16"/>
        </w:rPr>
        <w:t xml:space="preserve">[4] </w:t>
      </w:r>
      <w:r>
        <w:rPr>
          <w:rFonts w:ascii="Times New Roman" w:hAnsi="Times New Roman"/>
          <w:color w:val="000000"/>
          <w:sz w:val="16"/>
        </w:rPr>
        <w:t>E. Ben-Sasson, A. Chiesa, D. Genkin, E. Tromer, and M. Virza, "SNARKs for C: Verifying Program Executions Succinctly and in Zero Knowledge," in Advances in Cryptology – CRYPTO 2013, LNCS vol. 8043, Springer, 2013, pp. 90–108.</w:t>
      </w:r>
    </w:p>
    <w:p>
      <w:pPr>
        <w:spacing w:before="0" w:after="40" w:line="240" w:lineRule="auto"/>
        <w:ind w:left="360" w:hanging="360"/>
      </w:pPr>
      <w:r>
        <w:rPr>
          <w:rFonts w:ascii="Times New Roman" w:hAnsi="Times New Roman"/>
          <w:color w:val="000000"/>
          <w:sz w:val="16"/>
        </w:rPr>
        <w:t xml:space="preserve">[5] </w:t>
      </w:r>
      <w:r>
        <w:rPr>
          <w:rFonts w:ascii="Times New Roman" w:hAnsi="Times New Roman"/>
          <w:color w:val="000000"/>
          <w:sz w:val="16"/>
        </w:rPr>
        <w:t>J. Groth, "On the Size of Pairing-Based Non-Interactive Arguments," in Advances in Cryptology – EUROCRYPT 2016, LNCS vol. 9666, Springer, 2016, pp. 305–326.</w:t>
      </w:r>
    </w:p>
    <w:p>
      <w:pPr>
        <w:spacing w:before="0" w:after="40" w:line="240" w:lineRule="auto"/>
        <w:ind w:left="360" w:hanging="360"/>
      </w:pPr>
      <w:r>
        <w:rPr>
          <w:rFonts w:ascii="Times New Roman" w:hAnsi="Times New Roman"/>
          <w:color w:val="000000"/>
          <w:sz w:val="16"/>
        </w:rPr>
        <w:t xml:space="preserve">[6] </w:t>
      </w:r>
      <w:r>
        <w:rPr>
          <w:rFonts w:ascii="Times New Roman" w:hAnsi="Times New Roman"/>
          <w:color w:val="000000"/>
          <w:sz w:val="16"/>
        </w:rPr>
        <w:t>Privacy and Scaling Explorations (PSE), "Anon Aadhaar: Privacy-Preserving Identity Verification via ZK-SNARKs," Ethereum Foundation Research, 2024. [Online]. Available: https://pse.dev/projects/anon-aadhaar</w:t>
      </w:r>
    </w:p>
    <w:p>
      <w:pPr>
        <w:spacing w:before="0" w:after="40" w:line="240" w:lineRule="auto"/>
        <w:ind w:left="360" w:hanging="360"/>
      </w:pPr>
      <w:r>
        <w:rPr>
          <w:rFonts w:ascii="Times New Roman" w:hAnsi="Times New Roman"/>
          <w:color w:val="000000"/>
          <w:sz w:val="16"/>
        </w:rPr>
        <w:t xml:space="preserve">[7] </w:t>
      </w:r>
      <w:r>
        <w:rPr>
          <w:rFonts w:ascii="Times New Roman" w:hAnsi="Times New Roman"/>
          <w:color w:val="000000"/>
          <w:sz w:val="16"/>
        </w:rPr>
        <w:t>Sismo Protocol, "Attestations and ZK-Badges Technical Specification v2.1," Sismo Technical Whitepaper, 2023.</w:t>
      </w:r>
    </w:p>
    <w:p>
      <w:pPr>
        <w:spacing w:before="0" w:after="40" w:line="240" w:lineRule="auto"/>
        <w:ind w:left="360" w:hanging="360"/>
      </w:pPr>
      <w:r>
        <w:rPr>
          <w:rFonts w:ascii="Times New Roman" w:hAnsi="Times New Roman"/>
          <w:color w:val="000000"/>
          <w:sz w:val="16"/>
        </w:rPr>
        <w:t xml:space="preserve">[8] </w:t>
      </w:r>
      <w:r>
        <w:rPr>
          <w:rFonts w:ascii="Times New Roman" w:hAnsi="Times New Roman"/>
          <w:color w:val="000000"/>
          <w:sz w:val="16"/>
        </w:rPr>
        <w:t>Worldcoin Foundation, "World ID: Biometric Proof of Personhood Architecture and Threat Model," Worldcoin Technical Specification, 2024.</w:t>
      </w:r>
    </w:p>
    <w:p>
      <w:pPr>
        <w:spacing w:before="0" w:after="40" w:line="240" w:lineRule="auto"/>
        <w:ind w:left="360" w:hanging="360"/>
      </w:pPr>
      <w:r>
        <w:rPr>
          <w:rFonts w:ascii="Times New Roman" w:hAnsi="Times New Roman"/>
          <w:color w:val="000000"/>
          <w:sz w:val="16"/>
        </w:rPr>
        <w:t xml:space="preserve">[9] </w:t>
      </w:r>
      <w:r>
        <w:rPr>
          <w:rFonts w:ascii="Times New Roman" w:hAnsi="Times New Roman"/>
          <w:color w:val="000000"/>
          <w:sz w:val="16"/>
        </w:rPr>
        <w:t>Iden3 and Polygon Labs, "Polygon ID: Scalable Self-Sovereign Identity via Zero-Knowledge State Accumulators," Technical Specification v2.0, 2024.</w:t>
      </w:r>
    </w:p>
    <w:p>
      <w:pPr>
        <w:spacing w:before="0" w:after="40" w:line="240" w:lineRule="auto"/>
        <w:ind w:left="360" w:hanging="360"/>
      </w:pPr>
      <w:r>
        <w:rPr>
          <w:rFonts w:ascii="Times New Roman" w:hAnsi="Times New Roman"/>
          <w:color w:val="000000"/>
          <w:sz w:val="16"/>
        </w:rPr>
        <w:t xml:space="preserve">[10] </w:t>
      </w:r>
      <w:r>
        <w:rPr>
          <w:rFonts w:ascii="Times New Roman" w:hAnsi="Times New Roman"/>
          <w:color w:val="000000"/>
          <w:sz w:val="16"/>
        </w:rPr>
        <w:t>Ethereum Improvement Proposals, "EIP-197: Precompiled Contract for Optimal Ate Pairing Check on Curve alt_bn128," Ethereum Foundation, 2017.</w:t>
      </w:r>
    </w:p>
    <w:p>
      <w:pPr>
        <w:spacing w:before="0" w:after="40" w:line="240" w:lineRule="auto"/>
        <w:ind w:left="360" w:hanging="360"/>
      </w:pPr>
      <w:r>
        <w:rPr>
          <w:rFonts w:ascii="Times New Roman" w:hAnsi="Times New Roman"/>
          <w:color w:val="000000"/>
          <w:sz w:val="16"/>
        </w:rPr>
        <w:t xml:space="preserve">[11] </w:t>
      </w:r>
      <w:r>
        <w:rPr>
          <w:rFonts w:ascii="Times New Roman" w:hAnsi="Times New Roman"/>
          <w:color w:val="000000"/>
          <w:sz w:val="16"/>
        </w:rPr>
        <w:t>World Wide Web Consortium (W3C), "Web Authentication: An API for Accessing Public Key Credentials Level 2," W3C Recommendation, Apr. 2021.</w:t>
      </w:r>
    </w:p>
    <w:p>
      <w:pPr>
        <w:spacing w:before="0" w:after="40" w:line="240" w:lineRule="auto"/>
        <w:ind w:left="360" w:hanging="360"/>
      </w:pPr>
      <w:r>
        <w:rPr>
          <w:rFonts w:ascii="Times New Roman" w:hAnsi="Times New Roman"/>
          <w:color w:val="000000"/>
          <w:sz w:val="16"/>
        </w:rPr>
        <w:t xml:space="preserve">[12] </w:t>
      </w:r>
      <w:r>
        <w:rPr>
          <w:rFonts w:ascii="Times New Roman" w:hAnsi="Times New Roman"/>
          <w:color w:val="000000"/>
          <w:sz w:val="16"/>
        </w:rPr>
        <w:t>FIDO Alliance, "Client to Authenticator Protocol (CTAP) Specification v2.1," FIDO Technical Committee, 2024.</w:t>
      </w:r>
    </w:p>
    <w:p>
      <w:pPr>
        <w:spacing w:before="0" w:after="40" w:line="240" w:lineRule="auto"/>
        <w:ind w:left="360" w:hanging="360"/>
      </w:pPr>
      <w:r>
        <w:rPr>
          <w:rFonts w:ascii="Times New Roman" w:hAnsi="Times New Roman"/>
          <w:color w:val="000000"/>
          <w:sz w:val="16"/>
        </w:rPr>
        <w:t xml:space="preserve">[13] </w:t>
      </w:r>
      <w:r>
        <w:rPr>
          <w:rFonts w:ascii="Times New Roman" w:hAnsi="Times New Roman"/>
          <w:color w:val="000000"/>
          <w:sz w:val="16"/>
        </w:rPr>
        <w:t>C. Yeoh, E. Puddu, and S. Capkun, "FIDO-AC: Attribute-Based Credentials from FIDO2 Authentication," in Proc. 32nd USENIX Security Symposium (USENIX Security 23), Anaheim, CA, Aug. 2023, pp. 4835–4852.</w:t>
      </w:r>
    </w:p>
    <w:p>
      <w:pPr>
        <w:spacing w:before="0" w:after="40" w:line="240" w:lineRule="auto"/>
        <w:ind w:left="360" w:hanging="360"/>
      </w:pPr>
      <w:r>
        <w:rPr>
          <w:rFonts w:ascii="Times New Roman" w:hAnsi="Times New Roman"/>
          <w:color w:val="000000"/>
          <w:sz w:val="16"/>
        </w:rPr>
        <w:t xml:space="preserve">[14] </w:t>
      </w:r>
      <w:r>
        <w:rPr>
          <w:rFonts w:ascii="Times New Roman" w:hAnsi="Times New Roman"/>
          <w:color w:val="000000"/>
          <w:sz w:val="16"/>
        </w:rPr>
        <w:t>Cloudflare Research, "Private Access Tokens: Privacy-Preserving Cryptographic Device Attestation," Cloudflare Architecture Notes, 2022.</w:t>
      </w:r>
    </w:p>
    <w:p>
      <w:pPr>
        <w:spacing w:before="0" w:after="40" w:line="240" w:lineRule="auto"/>
        <w:ind w:left="360" w:hanging="360"/>
      </w:pPr>
      <w:r>
        <w:rPr>
          <w:rFonts w:ascii="Times New Roman" w:hAnsi="Times New Roman"/>
          <w:color w:val="000000"/>
          <w:sz w:val="16"/>
        </w:rPr>
        <w:t xml:space="preserve">[15] </w:t>
      </w:r>
      <w:r>
        <w:rPr>
          <w:rFonts w:ascii="Times New Roman" w:hAnsi="Times New Roman"/>
          <w:color w:val="000000"/>
          <w:sz w:val="16"/>
        </w:rPr>
        <w:t>L. Grassi, D. Khovratovich, C. Rechberger, A. Roy, and M. Schofnegger, "Poseidon: A New Hash Function for Zero-Knowledge Proof Systems," in Proc. 30th USENIX Security Symposium (USENIX Security 21), Aug. 2021, pp. 519–535.</w:t>
      </w:r>
    </w:p>
    <w:p>
      <w:pPr>
        <w:spacing w:before="0" w:after="40" w:line="240" w:lineRule="auto"/>
        <w:ind w:left="360" w:hanging="360"/>
      </w:pPr>
      <w:r>
        <w:rPr>
          <w:rFonts w:ascii="Times New Roman" w:hAnsi="Times New Roman"/>
          <w:color w:val="000000"/>
          <w:sz w:val="16"/>
        </w:rPr>
        <w:t xml:space="preserve">[16] </w:t>
      </w:r>
      <w:r>
        <w:rPr>
          <w:rFonts w:ascii="Times New Roman" w:hAnsi="Times New Roman"/>
          <w:color w:val="000000"/>
          <w:sz w:val="16"/>
        </w:rPr>
        <w:t>ZERO-ID Open Research Consortium, "ZERO-ID Circuit, Benchmark and AVM Reproducibility Harness," 2026. [Online]. Available: https://github.com/zeroid-protocol/zeroid-benchmarks</w:t>
      </w:r>
    </w:p>
    <w:p>
      <w:pPr>
        <w:spacing w:before="0" w:after="40" w:line="240" w:lineRule="auto"/>
        <w:ind w:left="360" w:hanging="360"/>
      </w:pPr>
      <w:r>
        <w:rPr>
          <w:rFonts w:ascii="Times New Roman" w:hAnsi="Times New Roman"/>
          <w:color w:val="000000"/>
          <w:sz w:val="16"/>
        </w:rPr>
        <w:t xml:space="preserve">[17] </w:t>
      </w:r>
      <w:r>
        <w:rPr>
          <w:rFonts w:ascii="Times New Roman" w:hAnsi="Times New Roman"/>
          <w:color w:val="000000"/>
          <w:sz w:val="16"/>
        </w:rPr>
        <w:t>Reserve Bank of India (RBI), "Master Direction – Know Your Customer (KYC) Direction, 2016 (Updated Nov. 2023)," RBI/DBR/2015-16/18, Master Direction DBR.AML.No.81/14.01.001/2015-16.</w:t>
      </w:r>
    </w:p>
    <w:p>
      <w:pPr>
        <w:spacing w:before="0" w:after="40" w:line="240" w:lineRule="auto"/>
        <w:ind w:left="360" w:hanging="360"/>
      </w:pPr>
      <w:r>
        <w:rPr>
          <w:rFonts w:ascii="Times New Roman" w:hAnsi="Times New Roman"/>
          <w:color w:val="000000"/>
          <w:sz w:val="16"/>
        </w:rPr>
        <w:t xml:space="preserve">[18] </w:t>
      </w:r>
      <w:r>
        <w:rPr>
          <w:rFonts w:ascii="Times New Roman" w:hAnsi="Times New Roman"/>
          <w:color w:val="000000"/>
          <w:sz w:val="16"/>
        </w:rPr>
        <w:t>Supreme Court of India, "Justice K.S. Puttaswamy (Retd.) and Anr. v. Union of India and Ors.," Writ Petition (Civil) No. 494 of 2012, (2019) 1 SCC 1, Sep. 2018.</w:t>
      </w:r>
    </w:p>
    <w:p>
      <w:pPr>
        <w:spacing w:before="0" w:after="40" w:line="240" w:lineRule="auto"/>
        <w:ind w:left="360" w:hanging="360"/>
      </w:pPr>
      <w:r>
        <w:rPr>
          <w:rFonts w:ascii="Times New Roman" w:hAnsi="Times New Roman"/>
          <w:color w:val="000000"/>
          <w:sz w:val="16"/>
        </w:rPr>
        <w:t xml:space="preserve">[19] </w:t>
      </w:r>
      <w:r>
        <w:rPr>
          <w:rFonts w:ascii="Times New Roman" w:hAnsi="Times New Roman"/>
          <w:color w:val="000000"/>
          <w:sz w:val="16"/>
        </w:rPr>
        <w:t>0xPARC and PSE, "circom-rsa: BigInt and RSA-2048 Modular Exponentiation Circuit Library," 2023. [Online]. Available: https://github.com/0xPARC/circom-rsa</w:t>
      </w:r>
    </w:p>
    <w:p>
      <w:pPr>
        <w:spacing w:before="0" w:after="40" w:line="240" w:lineRule="auto"/>
        <w:ind w:left="360" w:hanging="360"/>
      </w:pPr>
      <w:r>
        <w:rPr>
          <w:rFonts w:ascii="Times New Roman" w:hAnsi="Times New Roman"/>
          <w:color w:val="000000"/>
          <w:sz w:val="16"/>
        </w:rPr>
        <w:t xml:space="preserve">[20] </w:t>
      </w:r>
      <w:r>
        <w:rPr>
          <w:rFonts w:ascii="Times New Roman" w:hAnsi="Times New Roman"/>
          <w:color w:val="000000"/>
          <w:sz w:val="16"/>
        </w:rPr>
        <w:t>Hermez Protocol and Ethereum Foundation, "Perpetual Powers of Tau Trusted Setup Ceremony," 2021. [Online]. Available: https://github.com/iden3/snarkjs</w:t>
      </w:r>
    </w:p>
    <w:p>
      <w:pPr>
        <w:spacing w:before="0" w:after="40" w:line="240" w:lineRule="auto"/>
        <w:ind w:left="360" w:hanging="360"/>
      </w:pPr>
      <w:r>
        <w:rPr>
          <w:rFonts w:ascii="Times New Roman" w:hAnsi="Times New Roman"/>
          <w:color w:val="000000"/>
          <w:sz w:val="16"/>
        </w:rPr>
        <w:t xml:space="preserve">[21] </w:t>
      </w:r>
      <w:r>
        <w:rPr>
          <w:rFonts w:ascii="Times New Roman" w:hAnsi="Times New Roman"/>
          <w:color w:val="000000"/>
          <w:sz w:val="16"/>
        </w:rPr>
        <w:t>A. Kothapalli, S. Setty, and I. Tzialla, "Nova: Recursive Zero-Knowledge Arguments from Folding Schemes," in Advances in Cryptology – CRYPTO 2022, LNCS vol. 13508, Springer, 2022, pp. 247–277.</w:t>
      </w:r>
    </w:p>
    <w:sectPr w:rsidR="00FC693F" w:rsidRPr="0006063C" w:rsidSect="00034616">
      <w:pgSz w:w="12240" w:h="15840"/>
      <w:pgMar w:top="1080" w:right="893" w:bottom="1440" w:left="893"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