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120" w:line="276" w:lineRule="auto"/>
        <w:jc w:val="center"/>
      </w:pPr>
      <w:r>
        <w:rPr>
          <w:rFonts w:ascii="Calibri" w:hAnsi="Calibri"/>
          <w:b/>
          <w:color w:val="64748B"/>
          <w:sz w:val="22"/>
        </w:rPr>
        <w:t>PATENT INVENTION DISCLOSURE &amp; TECHNICAL PROJECT REPORT</w:t>
      </w:r>
    </w:p>
    <w:p>
      <w:pPr>
        <w:spacing w:before="320" w:after="120" w:line="276" w:lineRule="auto"/>
        <w:jc w:val="center"/>
      </w:pPr>
      <w:r>
        <w:rPr>
          <w:rFonts w:ascii="Calibri" w:hAnsi="Calibri"/>
          <w:b/>
          <w:color w:val="0F294F"/>
          <w:sz w:val="56"/>
        </w:rPr>
        <w:t>ZERO-ID</w:t>
      </w:r>
    </w:p>
    <w:p>
      <w:pPr>
        <w:spacing w:before="0" w:after="320" w:line="276" w:lineRule="auto"/>
        <w:jc w:val="center"/>
      </w:pPr>
      <w:r>
        <w:rPr>
          <w:rFonts w:ascii="Calibri" w:hAnsi="Calibri"/>
          <w:b/>
          <w:color w:val="1D6FA5"/>
          <w:sz w:val="26"/>
        </w:rPr>
        <w:t>A System and Method for Hardware-Bound Zero-Knowledge</w:t>
        <w:br/>
        <w:t>Identity Verification with Constant-Time Decentralized Revocation</w:t>
      </w:r>
    </w:p>
    <w:p>
      <w:pPr>
        <w:spacing w:before="0" w:after="520" w:line="276" w:lineRule="auto"/>
        <w:jc w:val="center"/>
      </w:pPr>
      <w:r>
        <w:rPr>
          <w:rFonts w:ascii="Calibri" w:hAnsi="Calibri"/>
          <w:i/>
          <w:color w:val="333E50"/>
          <w:sz w:val="20"/>
        </w:rPr>
        <w:t>Description of the Project Work</w:t>
        <w:br/>
        <w:t>Drafted in Strict Compliance with the Indian Patents Act 1970 (Section 3(k) CRI Criteria),</w:t>
        <w:br/>
        <w:t>the Ferid Allani v. Union of India (Delhi HC 2019) Precedent,</w:t>
        <w:br/>
        <w:t>and the Digital Personal Data Protection Act 2023</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168"/>
            <w:shd w:fill="F7FAFC"/>
          </w:tcPr>
          <w:p>
            <w:pPr>
              <w:spacing w:before="40" w:after="40" w:line="276" w:lineRule="auto"/>
            </w:pPr>
            <w:r>
              <w:rPr>
                <w:rFonts w:ascii="Calibri" w:hAnsi="Calibri"/>
                <w:b/>
                <w:color w:val="0F294F"/>
                <w:sz w:val="18"/>
              </w:rPr>
              <w:t>Principal Author &amp; Inventor:</w:t>
            </w:r>
          </w:p>
        </w:tc>
        <w:tc>
          <w:tcPr>
            <w:tcW w:type="dxa" w:w="6192"/>
            <w:shd w:fill="FFFFFF"/>
          </w:tcPr>
          <w:p>
            <w:pPr>
              <w:spacing w:before="40" w:after="40" w:line="276" w:lineRule="auto"/>
            </w:pPr>
            <w:r>
              <w:rPr>
                <w:rFonts w:ascii="Calibri" w:hAnsi="Calibri"/>
                <w:color w:val="2C3444"/>
                <w:sz w:val="18"/>
              </w:rPr>
              <w:t>Suyash &amp; Project Engineering Team (ZERO-ID)</w:t>
            </w:r>
          </w:p>
        </w:tc>
      </w:tr>
      <w:tr>
        <w:tc>
          <w:tcPr>
            <w:tcW w:type="dxa" w:w="3168"/>
            <w:shd w:fill="F7FAFC"/>
          </w:tcPr>
          <w:p>
            <w:pPr>
              <w:spacing w:before="40" w:after="40" w:line="276" w:lineRule="auto"/>
            </w:pPr>
            <w:r>
              <w:rPr>
                <w:rFonts w:ascii="Calibri" w:hAnsi="Calibri"/>
                <w:b/>
                <w:color w:val="0F294F"/>
                <w:sz w:val="18"/>
              </w:rPr>
              <w:t>Institutional Affiliation:</w:t>
            </w:r>
          </w:p>
        </w:tc>
        <w:tc>
          <w:tcPr>
            <w:tcW w:type="dxa" w:w="6192"/>
            <w:shd w:fill="FFFFFF"/>
          </w:tcPr>
          <w:p>
            <w:pPr>
              <w:spacing w:before="40" w:after="40" w:line="276" w:lineRule="auto"/>
            </w:pPr>
            <w:r>
              <w:rPr>
                <w:rFonts w:ascii="Calibri" w:hAnsi="Calibri"/>
                <w:color w:val="2C3444"/>
                <w:sz w:val="18"/>
              </w:rPr>
              <w:t>Department of Computer Science &amp; Engineering / Advanced Cryptography Lab</w:t>
            </w:r>
          </w:p>
        </w:tc>
      </w:tr>
      <w:tr>
        <w:tc>
          <w:tcPr>
            <w:tcW w:type="dxa" w:w="3168"/>
            <w:shd w:fill="F7FAFC"/>
          </w:tcPr>
          <w:p>
            <w:pPr>
              <w:spacing w:before="40" w:after="40" w:line="276" w:lineRule="auto"/>
            </w:pPr>
            <w:r>
              <w:rPr>
                <w:rFonts w:ascii="Calibri" w:hAnsi="Calibri"/>
                <w:b/>
                <w:color w:val="0F294F"/>
                <w:sz w:val="18"/>
              </w:rPr>
              <w:t>Academic Year &amp; Date:</w:t>
            </w:r>
          </w:p>
        </w:tc>
        <w:tc>
          <w:tcPr>
            <w:tcW w:type="dxa" w:w="6192"/>
            <w:shd w:fill="FFFFFF"/>
          </w:tcPr>
          <w:p>
            <w:pPr>
              <w:spacing w:before="40" w:after="40" w:line="276" w:lineRule="auto"/>
            </w:pPr>
            <w:r>
              <w:rPr>
                <w:rFonts w:ascii="Calibri" w:hAnsi="Calibri"/>
                <w:color w:val="2C3444"/>
                <w:sz w:val="18"/>
              </w:rPr>
              <w:t>Academic Year 2025–2026 | Submission Date: August 2026</w:t>
            </w:r>
          </w:p>
        </w:tc>
      </w:tr>
      <w:tr>
        <w:tc>
          <w:tcPr>
            <w:tcW w:type="dxa" w:w="3168"/>
            <w:shd w:fill="F7FAFC"/>
          </w:tcPr>
          <w:p>
            <w:pPr>
              <w:spacing w:before="40" w:after="40" w:line="276" w:lineRule="auto"/>
            </w:pPr>
            <w:r>
              <w:rPr>
                <w:rFonts w:ascii="Calibri" w:hAnsi="Calibri"/>
                <w:b/>
                <w:color w:val="0F294F"/>
                <w:sz w:val="18"/>
              </w:rPr>
              <w:t>Invention Classification:</w:t>
            </w:r>
          </w:p>
        </w:tc>
        <w:tc>
          <w:tcPr>
            <w:tcW w:type="dxa" w:w="6192"/>
            <w:shd w:fill="FFFFFF"/>
          </w:tcPr>
          <w:p>
            <w:pPr>
              <w:spacing w:before="40" w:after="40" w:line="276" w:lineRule="auto"/>
            </w:pPr>
            <w:r>
              <w:rPr>
                <w:rFonts w:ascii="Calibri" w:hAnsi="Calibri"/>
                <w:color w:val="2C3444"/>
                <w:sz w:val="18"/>
              </w:rPr>
              <w:t>Computer-Related Invention (CRI) — Applied Cryptography &amp; Distributed Ledgers</w:t>
            </w:r>
          </w:p>
        </w:tc>
      </w:tr>
      <w:tr>
        <w:tc>
          <w:tcPr>
            <w:tcW w:type="dxa" w:w="3168"/>
            <w:shd w:fill="F7FAFC"/>
          </w:tcPr>
          <w:p>
            <w:pPr>
              <w:spacing w:before="40" w:after="40" w:line="276" w:lineRule="auto"/>
            </w:pPr>
            <w:r>
              <w:rPr>
                <w:rFonts w:ascii="Calibri" w:hAnsi="Calibri"/>
                <w:b/>
                <w:color w:val="0F294F"/>
                <w:sz w:val="18"/>
              </w:rPr>
              <w:t>Legal Status:</w:t>
            </w:r>
          </w:p>
        </w:tc>
        <w:tc>
          <w:tcPr>
            <w:tcW w:type="dxa" w:w="6192"/>
            <w:shd w:fill="FFFFFF"/>
          </w:tcPr>
          <w:p>
            <w:pPr>
              <w:spacing w:before="40" w:after="40" w:line="276" w:lineRule="auto"/>
            </w:pPr>
            <w:r>
              <w:rPr>
                <w:rFonts w:ascii="Calibri" w:hAnsi="Calibri"/>
                <w:color w:val="2C3444"/>
                <w:sz w:val="18"/>
              </w:rPr>
              <w:t>CONFIDENTIAL — Attorney-Client Privileged Material for Patent Filing</w:t>
            </w:r>
          </w:p>
        </w:tc>
      </w:tr>
    </w:tbl>
    <w:p>
      <w:r>
        <w:br w:type="page"/>
      </w:r>
    </w:p>
    <w:p>
      <w:pPr>
        <w:keepNext/>
        <w:spacing w:before="280" w:after="120"/>
      </w:pPr>
      <w:r>
        <w:rPr>
          <w:rFonts w:ascii="Calibri" w:hAnsi="Calibri"/>
          <w:b/>
          <w:color w:val="0F294F"/>
          <w:sz w:val="30"/>
        </w:rPr>
        <w:t>1. Project Overview</w:t>
      </w:r>
    </w:p>
    <w:p>
      <w:pPr>
        <w:spacing w:before="0" w:after="100" w:line="276" w:lineRule="auto"/>
      </w:pPr>
      <w:r>
        <w:rPr>
          <w:rFonts w:ascii="Calibri" w:hAnsi="Calibri"/>
          <w:color w:val="2C3444"/>
          <w:sz w:val="20"/>
        </w:rPr>
        <w:t>ZERO-ID is an end-to-end cryptographic digital identity verification infrastructure that reconciles three historically contradictory objectives: absolute user privacy, rigorous Know Your Customer (KYC) regulatory compliance, and high-throughput operational efficiency. The system completely eliminates the need for centralized storage of raw Personally Identifiable Information (PII) by executing 100% of identity proving computations on the citizen's own device.</w:t>
      </w:r>
    </w:p>
    <w:p>
      <w:pPr>
        <w:spacing w:before="0" w:after="100" w:line="276" w:lineRule="auto"/>
      </w:pPr>
      <w:r>
        <w:rPr>
          <w:rFonts w:ascii="Calibri" w:hAnsi="Calibri"/>
          <w:color w:val="2C3444"/>
          <w:sz w:val="20"/>
        </w:rPr>
        <w:t>Contemporary digital identity verification—whether for banking onboarding, SIM card issuance, hotel check-in, or age-gated services—universally requires the transmission and long-term storage of unredacted government identity documents (Aadhaar XML/PDF, PAN, Passport) in enterprise databases. Over 1.4 billion Aadhaar records exist across fragmented enterprise silos. Under India's Digital Personal Data Protection (DPDP) Act 2023 (Section 33), data fiduciaries face statutory penalties of up to INR 250 Crores per breach incident for exposing personal data. This centralized honeypot architecture is both an existential corporate liability and a systemic privacy vulnerability.</w:t>
      </w:r>
    </w:p>
    <w:p>
      <w:pPr>
        <w:spacing w:before="0" w:after="100" w:line="276" w:lineRule="auto"/>
      </w:pPr>
      <w:r>
        <w:rPr>
          <w:rFonts w:ascii="Calibri" w:hAnsi="Calibri"/>
          <w:color w:val="2C3444"/>
          <w:sz w:val="20"/>
        </w:rPr>
        <w:t>ZERO-ID re-architects this paradigm through four interlocking cryptographic innovations:</w:t>
      </w:r>
    </w:p>
    <w:p>
      <w:pPr>
        <w:pStyle w:val="ListBullet"/>
        <w:spacing w:before="0" w:after="60" w:line="269" w:lineRule="auto"/>
      </w:pPr>
      <w:r>
        <w:rPr>
          <w:rFonts w:ascii="Calibri" w:hAnsi="Calibri"/>
          <w:b/>
          <w:color w:val="333E50"/>
          <w:sz w:val="20"/>
        </w:rPr>
        <w:t xml:space="preserve">1. </w:t>
      </w:r>
      <w:r>
        <w:rPr>
          <w:rFonts w:ascii="Calibri" w:hAnsi="Calibri"/>
          <w:color w:val="2C3444"/>
          <w:sz w:val="20"/>
        </w:rPr>
        <w:t>Client-side Groth16 zero-knowledge proof generation over the BN254 elliptic curve, compiled to WebAssembly and executing entirely within the citizen's browser in under 1.5 seconds.</w:t>
      </w:r>
    </w:p>
    <w:p>
      <w:pPr>
        <w:pStyle w:val="ListBullet"/>
        <w:spacing w:before="0" w:after="60" w:line="269" w:lineRule="auto"/>
      </w:pPr>
      <w:r>
        <w:rPr>
          <w:rFonts w:ascii="Calibri" w:hAnsi="Calibri"/>
          <w:b/>
          <w:color w:val="333E50"/>
          <w:sz w:val="20"/>
        </w:rPr>
        <w:t xml:space="preserve">2. </w:t>
      </w:r>
      <w:r>
        <w:rPr>
          <w:rFonts w:ascii="Calibri" w:hAnsi="Calibri"/>
          <w:color w:val="2C3444"/>
          <w:sz w:val="20"/>
        </w:rPr>
        <w:t>Hardware-enclave parameter hash-chaining via W3C WebAuthn / FIDO2, binding proof points directly to non-exportable ECDSA-P256 keys inside Apple Secure Enclaves, Android Titan M2 chips, or Windows TPM 2.0 modules.</w:t>
      </w:r>
    </w:p>
    <w:p>
      <w:pPr>
        <w:pStyle w:val="ListBullet"/>
        <w:spacing w:before="0" w:after="60" w:line="269" w:lineRule="auto"/>
      </w:pPr>
      <w:r>
        <w:rPr>
          <w:rFonts w:ascii="Calibri" w:hAnsi="Calibri"/>
          <w:b/>
          <w:color w:val="333E50"/>
          <w:sz w:val="20"/>
        </w:rPr>
        <w:t xml:space="preserve">3. </w:t>
      </w:r>
      <w:r>
        <w:rPr>
          <w:rFonts w:ascii="Calibri" w:hAnsi="Calibri"/>
          <w:color w:val="2C3444"/>
          <w:sz w:val="20"/>
        </w:rPr>
        <w:t>Constant-time O(1) decentralized revocation using Algorand Layer-1 Box Storage, achieving global credential invalidation in 3.80 seconds.</w:t>
      </w:r>
    </w:p>
    <w:p>
      <w:pPr>
        <w:pStyle w:val="ListBullet"/>
        <w:spacing w:before="0" w:after="60" w:line="269" w:lineRule="auto"/>
      </w:pPr>
      <w:r>
        <w:rPr>
          <w:rFonts w:ascii="Calibri" w:hAnsi="Calibri"/>
          <w:b/>
          <w:color w:val="333E50"/>
          <w:sz w:val="20"/>
        </w:rPr>
        <w:t xml:space="preserve">4. </w:t>
      </w:r>
      <w:r>
        <w:rPr>
          <w:rFonts w:ascii="Calibri" w:hAnsi="Calibri"/>
          <w:color w:val="2C3444"/>
          <w:sz w:val="20"/>
        </w:rPr>
        <w:t>Zero-PII footprint architecture: the relying party verifier stores exactly 0 bytes of customer personal data, retaining only an immutable mathematical Boolean attestation receipt.</w:t>
      </w:r>
    </w:p>
    <w:tbl>
      <w:tblPr>
        <w:tblW w:type="auto" w:w="0"/>
        <w:jc w:val="center"/>
        <w:tblLayout w:type="fixed"/>
        <w:tblLook w:firstColumn="1" w:firstRow="1" w:lastColumn="0" w:lastRow="0" w:noHBand="0" w:noVBand="1" w:val="04A0"/>
      </w:tblPr>
      <w:tblGrid>
        <w:gridCol w:w="9360"/>
      </w:tblGrid>
      <w:tr>
        <w:tc>
          <w:tcPr>
            <w:tcW w:type="dxa" w:w="9360"/>
            <w:shd w:fill="EFF6FF"/>
            <w:tcBorders>
              <w:left w:val="single" w:sz="24" w:color="1D6FA5"/>
              <w:top w:val="none"/>
              <w:right w:val="none"/>
              <w:bottom w:val="none"/>
            </w:tcBorders>
          </w:tcPr>
          <w:p>
            <w:pPr>
              <w:spacing w:before="60" w:after="60" w:line="276" w:lineRule="auto"/>
            </w:pPr>
            <w:r>
              <w:rPr>
                <w:rFonts w:ascii="Calibri" w:hAnsi="Calibri"/>
                <w:b/>
                <w:color w:val="0F294F"/>
                <w:sz w:val="19"/>
              </w:rPr>
              <w:t xml:space="preserve">📌 CORE VALUE PROPOSITION: </w:t>
            </w:r>
            <w:r>
              <w:rPr>
                <w:rFonts w:ascii="Calibri" w:hAnsi="Calibri"/>
                <w:color w:val="333E50"/>
                <w:sz w:val="19"/>
              </w:rPr>
              <w:t>ZERO-ID achieves a 0-byte verifier PII footprint, eliminates proof-forwarding Sybil attacks via hardware enclave parameter chaining, reduces global revocation propagation from 15–30 minutes (EVM L1) to 3.80 seconds (Algorand L1), and compresses cryptographic proof payloads to 128 bytes (fitting standard QR Version 4 codes).</w:t>
            </w:r>
          </w:p>
        </w:tc>
      </w:tr>
    </w:tbl>
    <w:p>
      <w:pPr>
        <w:spacing w:before="0" w:after="80" w:line="276" w:lineRule="auto"/>
      </w:pPr>
    </w:p>
    <w:p>
      <w:pPr>
        <w:keepNext/>
        <w:spacing w:before="280" w:after="120"/>
      </w:pPr>
      <w:r>
        <w:rPr>
          <w:rFonts w:ascii="Calibri" w:hAnsi="Calibri"/>
          <w:b/>
          <w:color w:val="0F294F"/>
          <w:sz w:val="30"/>
        </w:rPr>
        <w:t>2. Problem Statement and Motivation</w:t>
      </w:r>
    </w:p>
    <w:p>
      <w:pPr>
        <w:spacing w:before="0" w:after="100" w:line="276" w:lineRule="auto"/>
      </w:pPr>
      <w:r>
        <w:rPr>
          <w:rFonts w:ascii="Calibri" w:hAnsi="Calibri"/>
          <w:color w:val="2C3444"/>
          <w:sz w:val="20"/>
        </w:rPr>
        <w:t>Digital identity ecosystems worldwide operate under the flawed premise: 'To verify a fact about a person, one must collect and store their entire identity.' This paradigm produces three critical systemic failures:</w:t>
      </w:r>
    </w:p>
    <w:p>
      <w:pPr>
        <w:keepNext/>
        <w:spacing w:before="280" w:after="120"/>
      </w:pPr>
      <w:r>
        <w:rPr>
          <w:rFonts w:ascii="Calibri" w:hAnsi="Calibri"/>
          <w:b/>
          <w:color w:val="1D6FA5"/>
          <w:sz w:val="25"/>
        </w:rPr>
        <w:t>2.1  The Centralized Honeypot Problem</w:t>
      </w:r>
    </w:p>
    <w:p>
      <w:pPr>
        <w:spacing w:before="0" w:after="100" w:line="276" w:lineRule="auto"/>
      </w:pPr>
      <w:r>
        <w:rPr>
          <w:rFonts w:ascii="Calibri" w:hAnsi="Calibri"/>
          <w:color w:val="2C3444"/>
          <w:sz w:val="20"/>
        </w:rPr>
        <w:t>When a citizen opens a bank account or buys a SIM card in India, their raw Aadhaar XML is archived in enterprise databases. These centralized PII stores are high-value targets for adversaries: in 2023, data leaks exposed over 815 million citizens' identity records on the dark web. Under the DPDP Act 2023, each security lapse exposes the fiduciary to penalties of up to INR 250 Crores. Storing raw identity records is no longer merely an IT expense—it is an existential corporate liability.</w:t>
      </w:r>
    </w:p>
    <w:p>
      <w:pPr>
        <w:keepNext/>
        <w:spacing w:before="280" w:after="120"/>
      </w:pPr>
      <w:r>
        <w:rPr>
          <w:rFonts w:ascii="Calibri" w:hAnsi="Calibri"/>
          <w:b/>
          <w:color w:val="1D6FA5"/>
          <w:sz w:val="25"/>
        </w:rPr>
        <w:t>2.2  The Proof-Forwarding Vulnerability (Sybil Attack)</w:t>
      </w:r>
    </w:p>
    <w:p>
      <w:pPr>
        <w:spacing w:before="0" w:after="100" w:line="276" w:lineRule="auto"/>
      </w:pPr>
      <w:r>
        <w:rPr>
          <w:rFonts w:ascii="Calibri" w:hAnsi="Calibri"/>
          <w:color w:val="2C3444"/>
          <w:sz w:val="20"/>
        </w:rPr>
        <w:t>Existing zero-knowledge KYC protocols (e.g., Anon Aadhaar, Sismo, generic Groth16/PLONK implementations) produce proofs that are portable JSON strings. If Citizen A generates a valid 128-byte proof asserting Age &gt;= 18, that proof can be trivially forwarded via messaging channels to Citizen B, who presents it to gain unauthorized access. No existing deployed ZK-KYC system cryptographically binds proofs to a specific physical device without requiring expensive proprietary biometric hardware (e.g., Worldcoin's $5,000+ Orb scanners).</w:t>
      </w:r>
    </w:p>
    <w:p>
      <w:pPr>
        <w:keepNext/>
        <w:spacing w:before="280" w:after="120"/>
      </w:pPr>
      <w:r>
        <w:rPr>
          <w:rFonts w:ascii="Calibri" w:hAnsi="Calibri"/>
          <w:b/>
          <w:color w:val="1D6FA5"/>
          <w:sz w:val="25"/>
        </w:rPr>
        <w:t>2.3  The Revocation Bottleneck</w:t>
      </w:r>
    </w:p>
    <w:p>
      <w:pPr>
        <w:spacing w:before="0" w:after="100" w:line="276" w:lineRule="auto"/>
      </w:pPr>
      <w:r>
        <w:rPr>
          <w:rFonts w:ascii="Calibri" w:hAnsi="Calibri"/>
          <w:color w:val="2C3444"/>
          <w:sz w:val="20"/>
        </w:rPr>
        <w:t>Decentralized identity frameworks like Polygon ID / Iden3 manage revocation through on-chain Sparse Merkle Tree (SMT) accumulators (depth 20–40). When a single credential is revoked, the issuer must recompute the tree root and broadcast it on Ethereum L1, forcing all non-revoked users to re-download witness membership paths—introducing 12–15 minute settlement latencies and $2–$45 gas fees per update. This architecture is computationally and economically infeasible for nation-scale identity systems.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3120"/>
            <w:shd w:fill="0F294F"/>
          </w:tcPr>
          <w:p>
            <w:pPr>
              <w:spacing w:before="60" w:after="60" w:line="276" w:lineRule="auto"/>
            </w:pPr>
            <w:r>
              <w:rPr>
                <w:rFonts w:ascii="Calibri" w:hAnsi="Calibri"/>
                <w:b/>
                <w:color w:val="FFFFFF"/>
                <w:sz w:val="17"/>
              </w:rPr>
              <w:t>Domain / Prior Art</w:t>
            </w:r>
          </w:p>
        </w:tc>
        <w:tc>
          <w:tcPr>
            <w:tcW w:type="dxa" w:w="3120"/>
            <w:shd w:fill="0F294F"/>
          </w:tcPr>
          <w:p>
            <w:pPr>
              <w:spacing w:before="60" w:after="60" w:line="276" w:lineRule="auto"/>
            </w:pPr>
            <w:r>
              <w:rPr>
                <w:rFonts w:ascii="Calibri" w:hAnsi="Calibri"/>
                <w:b/>
                <w:color w:val="FFFFFF"/>
                <w:sz w:val="17"/>
              </w:rPr>
              <w:t>Identified Vulnerability</w:t>
            </w:r>
          </w:p>
        </w:tc>
        <w:tc>
          <w:tcPr>
            <w:tcW w:type="dxa" w:w="3120"/>
            <w:shd w:fill="0F294F"/>
          </w:tcPr>
          <w:p>
            <w:pPr>
              <w:spacing w:before="60" w:after="60" w:line="276" w:lineRule="auto"/>
            </w:pPr>
            <w:r>
              <w:rPr>
                <w:rFonts w:ascii="Calibri" w:hAnsi="Calibri"/>
                <w:b/>
                <w:color w:val="FFFFFF"/>
                <w:sz w:val="17"/>
              </w:rPr>
              <w:t>ZERO-ID Solution</w:t>
            </w:r>
          </w:p>
        </w:tc>
      </w:tr>
      <w:tr>
        <w:tc>
          <w:tcPr>
            <w:tcW w:type="dxa" w:w="2304"/>
            <w:shd w:fill="F1F5F9"/>
          </w:tcPr>
          <w:p>
            <w:pPr>
              <w:spacing w:before="40" w:after="40" w:line="276" w:lineRule="auto"/>
            </w:pPr>
            <w:r>
              <w:rPr>
                <w:rFonts w:ascii="Calibri" w:hAnsi="Calibri"/>
                <w:color w:val="2C3444"/>
                <w:sz w:val="17"/>
              </w:rPr>
              <w:t>Centralized KYC</w:t>
              <w:br/>
              <w:t>(DigiLocker / CKYC)</w:t>
            </w:r>
          </w:p>
        </w:tc>
        <w:tc>
          <w:tcPr>
            <w:tcW w:type="dxa" w:w="3456"/>
            <w:shd w:fill="F1F5F9"/>
          </w:tcPr>
          <w:p>
            <w:pPr>
              <w:spacing w:before="40" w:after="40" w:line="276" w:lineRule="auto"/>
            </w:pPr>
            <w:r>
              <w:rPr>
                <w:rFonts w:ascii="Calibri" w:hAnsi="Calibri"/>
                <w:color w:val="2C3444"/>
                <w:sz w:val="17"/>
              </w:rPr>
              <w:t>Stores 1,450 bytes of raw PII per user;</w:t>
              <w:br/>
              <w:t>high breach liability under DPDP §33.</w:t>
            </w:r>
          </w:p>
        </w:tc>
        <w:tc>
          <w:tcPr>
            <w:tcW w:type="dxa" w:w="3600"/>
            <w:shd w:fill="F1F5F9"/>
          </w:tcPr>
          <w:p>
            <w:pPr>
              <w:spacing w:before="40" w:after="40" w:line="276" w:lineRule="auto"/>
            </w:pPr>
            <w:r>
              <w:rPr>
                <w:rFonts w:ascii="Calibri" w:hAnsi="Calibri"/>
                <w:color w:val="2C3444"/>
                <w:sz w:val="17"/>
              </w:rPr>
              <w:t>100% Client-Side Proving.</w:t>
              <w:br/>
              <w:t>0 bytes PII at verifier.</w:t>
            </w:r>
          </w:p>
        </w:tc>
      </w:tr>
      <w:tr>
        <w:tc>
          <w:tcPr>
            <w:tcW w:type="dxa" w:w="2304"/>
            <w:shd w:fill="FFFFFF"/>
          </w:tcPr>
          <w:p>
            <w:pPr>
              <w:spacing w:before="40" w:after="40" w:line="276" w:lineRule="auto"/>
            </w:pPr>
            <w:r>
              <w:rPr>
                <w:rFonts w:ascii="Calibri" w:hAnsi="Calibri"/>
                <w:color w:val="2C3444"/>
                <w:sz w:val="17"/>
              </w:rPr>
              <w:t>Generic ZK-KYC</w:t>
              <w:br/>
              <w:t>(Anon Aadhaar / Sismo)</w:t>
            </w:r>
          </w:p>
        </w:tc>
        <w:tc>
          <w:tcPr>
            <w:tcW w:type="dxa" w:w="3456"/>
            <w:shd w:fill="FFFFFF"/>
          </w:tcPr>
          <w:p>
            <w:pPr>
              <w:spacing w:before="40" w:after="40" w:line="276" w:lineRule="auto"/>
            </w:pPr>
            <w:r>
              <w:rPr>
                <w:rFonts w:ascii="Calibri" w:hAnsi="Calibri"/>
                <w:color w:val="2C3444"/>
                <w:sz w:val="17"/>
              </w:rPr>
              <w:t>Proof-forwarding vulnerability:</w:t>
              <w:br/>
              <w:t>valid proof JSON can be shared/reused.</w:t>
            </w:r>
          </w:p>
        </w:tc>
        <w:tc>
          <w:tcPr>
            <w:tcW w:type="dxa" w:w="3600"/>
            <w:shd w:fill="FFFFFF"/>
          </w:tcPr>
          <w:p>
            <w:pPr>
              <w:spacing w:before="40" w:after="40" w:line="276" w:lineRule="auto"/>
            </w:pPr>
            <w:r>
              <w:rPr>
                <w:rFonts w:ascii="Calibri" w:hAnsi="Calibri"/>
                <w:color w:val="2C3444"/>
                <w:sz w:val="17"/>
              </w:rPr>
              <w:t>Hardware Enclave Binding:</w:t>
              <w:br/>
              <w:t>Groth16 points chained to FIDO2 TPM.</w:t>
            </w:r>
          </w:p>
        </w:tc>
      </w:tr>
      <w:tr>
        <w:tc>
          <w:tcPr>
            <w:tcW w:type="dxa" w:w="2304"/>
            <w:shd w:fill="F1F5F9"/>
          </w:tcPr>
          <w:p>
            <w:pPr>
              <w:spacing w:before="40" w:after="40" w:line="276" w:lineRule="auto"/>
            </w:pPr>
            <w:r>
              <w:rPr>
                <w:rFonts w:ascii="Calibri" w:hAnsi="Calibri"/>
                <w:color w:val="2C3444"/>
                <w:sz w:val="17"/>
              </w:rPr>
              <w:t>EVM Frameworks</w:t>
              <w:br/>
              <w:t>(Polygon ID / Iden3)</w:t>
            </w:r>
          </w:p>
        </w:tc>
        <w:tc>
          <w:tcPr>
            <w:tcW w:type="dxa" w:w="3456"/>
            <w:shd w:fill="F1F5F9"/>
          </w:tcPr>
          <w:p>
            <w:pPr>
              <w:spacing w:before="40" w:after="40" w:line="276" w:lineRule="auto"/>
            </w:pPr>
            <w:r>
              <w:rPr>
                <w:rFonts w:ascii="Calibri" w:hAnsi="Calibri"/>
                <w:color w:val="2C3444"/>
                <w:sz w:val="17"/>
              </w:rPr>
              <w:t>O(log N) Merkle Tree updates;</w:t>
              <w:br/>
              <w:t>~15 min latency; high gas fees.</w:t>
            </w:r>
          </w:p>
        </w:tc>
        <w:tc>
          <w:tcPr>
            <w:tcW w:type="dxa" w:w="3600"/>
            <w:shd w:fill="F1F5F9"/>
          </w:tcPr>
          <w:p>
            <w:pPr>
              <w:spacing w:before="40" w:after="40" w:line="276" w:lineRule="auto"/>
            </w:pPr>
            <w:r>
              <w:rPr>
                <w:rFonts w:ascii="Calibri" w:hAnsi="Calibri"/>
                <w:color w:val="2C3444"/>
                <w:sz w:val="17"/>
              </w:rPr>
              <w:t>O(1) Direct Key-Value Box Storage</w:t>
              <w:br/>
              <w:t>on Algorand: 3.80s finality.</w:t>
            </w:r>
          </w:p>
        </w:tc>
      </w:tr>
      <w:tr>
        <w:tc>
          <w:tcPr>
            <w:tcW w:type="dxa" w:w="2304"/>
            <w:shd w:fill="FFFFFF"/>
          </w:tcPr>
          <w:p>
            <w:pPr>
              <w:spacing w:before="40" w:after="40" w:line="276" w:lineRule="auto"/>
            </w:pPr>
            <w:r>
              <w:rPr>
                <w:rFonts w:ascii="Calibri" w:hAnsi="Calibri"/>
                <w:color w:val="2C3444"/>
                <w:sz w:val="17"/>
              </w:rPr>
              <w:t>Proprietary Biometrics</w:t>
              <w:br/>
              <w:t>(Worldcoin Orb)</w:t>
            </w:r>
          </w:p>
        </w:tc>
        <w:tc>
          <w:tcPr>
            <w:tcW w:type="dxa" w:w="3456"/>
            <w:shd w:fill="FFFFFF"/>
          </w:tcPr>
          <w:p>
            <w:pPr>
              <w:spacing w:before="40" w:after="40" w:line="276" w:lineRule="auto"/>
            </w:pPr>
            <w:r>
              <w:rPr>
                <w:rFonts w:ascii="Calibri" w:hAnsi="Calibri"/>
                <w:color w:val="2C3444"/>
                <w:sz w:val="17"/>
              </w:rPr>
              <w:t>Requires $5,000+ specialized iris</w:t>
              <w:br/>
              <w:t>scanning hardware; centralized custody.</w:t>
            </w:r>
          </w:p>
        </w:tc>
        <w:tc>
          <w:tcPr>
            <w:tcW w:type="dxa" w:w="3600"/>
            <w:shd w:fill="FFFFFF"/>
          </w:tcPr>
          <w:p>
            <w:pPr>
              <w:spacing w:before="40" w:after="40" w:line="276" w:lineRule="auto"/>
            </w:pPr>
            <w:r>
              <w:rPr>
                <w:rFonts w:ascii="Calibri" w:hAnsi="Calibri"/>
                <w:color w:val="2C3444"/>
                <w:sz w:val="17"/>
              </w:rPr>
              <w:t>Commodity FIDO2 authenticators:</w:t>
              <w:br/>
              <w:t>Apple/Android/Windows devices.</w:t>
            </w:r>
          </w:p>
        </w:tc>
      </w:tr>
    </w:tbl>
    <w:p>
      <w:pPr>
        <w:spacing w:before="0" w:after="40" w:line="276" w:lineRule="auto"/>
      </w:pPr>
    </w:p>
    <w:p>
      <w:pPr>
        <w:keepNext/>
        <w:spacing w:before="280" w:after="120"/>
      </w:pPr>
      <w:r>
        <w:rPr>
          <w:rFonts w:ascii="Calibri" w:hAnsi="Calibri"/>
          <w:b/>
          <w:color w:val="0F294F"/>
          <w:sz w:val="30"/>
        </w:rPr>
        <w:t>3. Novelty, Prior-Art Analysis, and Patentability</w:t>
      </w:r>
    </w:p>
    <w:p>
      <w:pPr>
        <w:spacing w:before="0" w:after="100" w:line="276" w:lineRule="auto"/>
      </w:pPr>
      <w:r>
        <w:rPr>
          <w:rFonts w:ascii="Calibri" w:hAnsi="Calibri"/>
          <w:color w:val="2C3444"/>
          <w:sz w:val="20"/>
        </w:rPr>
        <w:t>This section formally establishes that the specific combination of inventive steps in ZERO-ID has not been previously patented, published, or deployed in any prior-art system. The analysis below is based on systematic searches of the Indian Patent Office (InPASS), USPTO/Google Patents, WIPO, academic literature (USENIX, IEEE S&amp;P, ACM CCS, arXiv/IACR ePrint), and deployed open-source protocols.</w:t>
      </w:r>
    </w:p>
    <w:p>
      <w:pPr>
        <w:keepNext/>
        <w:spacing w:before="280" w:after="120"/>
      </w:pPr>
      <w:r>
        <w:rPr>
          <w:rFonts w:ascii="Calibri" w:hAnsi="Calibri"/>
          <w:b/>
          <w:color w:val="1D6FA5"/>
          <w:sz w:val="25"/>
        </w:rPr>
        <w:t>3.1  Comprehensive Prior-Art Search Results</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3120"/>
            <w:shd w:fill="0F294F"/>
          </w:tcPr>
          <w:p>
            <w:pPr>
              <w:spacing w:before="60" w:after="60" w:line="276" w:lineRule="auto"/>
            </w:pPr>
            <w:r>
              <w:rPr>
                <w:rFonts w:ascii="Calibri" w:hAnsi="Calibri"/>
                <w:b/>
                <w:color w:val="FFFFFF"/>
                <w:sz w:val="17"/>
              </w:rPr>
              <w:t>Prior-Art System</w:t>
            </w:r>
          </w:p>
        </w:tc>
        <w:tc>
          <w:tcPr>
            <w:tcW w:type="dxa" w:w="3120"/>
            <w:shd w:fill="0F294F"/>
          </w:tcPr>
          <w:p>
            <w:pPr>
              <w:spacing w:before="60" w:after="60" w:line="276" w:lineRule="auto"/>
            </w:pPr>
            <w:r>
              <w:rPr>
                <w:rFonts w:ascii="Calibri" w:hAnsi="Calibri"/>
                <w:b/>
                <w:color w:val="FFFFFF"/>
                <w:sz w:val="17"/>
              </w:rPr>
              <w:t>What It Does</w:t>
            </w:r>
          </w:p>
        </w:tc>
        <w:tc>
          <w:tcPr>
            <w:tcW w:type="dxa" w:w="3120"/>
            <w:shd w:fill="0F294F"/>
          </w:tcPr>
          <w:p>
            <w:pPr>
              <w:spacing w:before="60" w:after="60" w:line="276" w:lineRule="auto"/>
            </w:pPr>
            <w:r>
              <w:rPr>
                <w:rFonts w:ascii="Calibri" w:hAnsi="Calibri"/>
                <w:b/>
                <w:color w:val="FFFFFF"/>
                <w:sz w:val="17"/>
              </w:rPr>
              <w:t>What It Does NOT Do (Gap ZERO-ID Fills)</w:t>
            </w:r>
          </w:p>
        </w:tc>
      </w:tr>
      <w:tr>
        <w:tc>
          <w:tcPr>
            <w:tcW w:type="dxa" w:w="2160"/>
            <w:shd w:fill="F1F5F9"/>
          </w:tcPr>
          <w:p>
            <w:pPr>
              <w:spacing w:before="40" w:after="40" w:line="276" w:lineRule="auto"/>
            </w:pPr>
            <w:r>
              <w:rPr>
                <w:rFonts w:ascii="Calibri" w:hAnsi="Calibri"/>
                <w:color w:val="2C3444"/>
                <w:sz w:val="17"/>
              </w:rPr>
              <w:t>Anon Aadhaar</w:t>
              <w:br/>
              <w:t>(PSE / Ethereum Foundation)</w:t>
            </w:r>
          </w:p>
        </w:tc>
        <w:tc>
          <w:tcPr>
            <w:tcW w:type="dxa" w:w="3312"/>
            <w:shd w:fill="F1F5F9"/>
          </w:tcPr>
          <w:p>
            <w:pPr>
              <w:spacing w:before="40" w:after="40" w:line="276" w:lineRule="auto"/>
            </w:pPr>
            <w:r>
              <w:rPr>
                <w:rFonts w:ascii="Calibri" w:hAnsi="Calibri"/>
                <w:color w:val="2C3444"/>
                <w:sz w:val="17"/>
              </w:rPr>
              <w:t>Verifies UIDAI RSA signature inside</w:t>
              <w:br/>
              <w:t>a ZK-SNARK circuit; proves age/state</w:t>
              <w:br/>
              <w:t>attributes without disclosing Aadhaar #.</w:t>
            </w:r>
          </w:p>
        </w:tc>
        <w:tc>
          <w:tcPr>
            <w:tcW w:type="dxa" w:w="3888"/>
            <w:shd w:fill="F1F5F9"/>
          </w:tcPr>
          <w:p>
            <w:pPr>
              <w:spacing w:before="40" w:after="40" w:line="276" w:lineRule="auto"/>
            </w:pPr>
            <w:r>
              <w:rPr>
                <w:rFonts w:ascii="Calibri" w:hAnsi="Calibri"/>
                <w:color w:val="2C3444"/>
                <w:sz w:val="17"/>
              </w:rPr>
              <w:t>No hardware binding. Proofs are portable</w:t>
              <w:br/>
              <w:t>JSON — vulnerable to forwarding/Sybil.</w:t>
              <w:br/>
              <w:t>No on-chain revocation mechanism.</w:t>
            </w:r>
          </w:p>
        </w:tc>
      </w:tr>
      <w:tr>
        <w:tc>
          <w:tcPr>
            <w:tcW w:type="dxa" w:w="2160"/>
            <w:shd w:fill="FFFFFF"/>
          </w:tcPr>
          <w:p>
            <w:pPr>
              <w:spacing w:before="40" w:after="40" w:line="276" w:lineRule="auto"/>
            </w:pPr>
            <w:r>
              <w:rPr>
                <w:rFonts w:ascii="Calibri" w:hAnsi="Calibri"/>
                <w:color w:val="2C3444"/>
                <w:sz w:val="17"/>
              </w:rPr>
              <w:t>Polygon ID / Iden3</w:t>
            </w:r>
          </w:p>
        </w:tc>
        <w:tc>
          <w:tcPr>
            <w:tcW w:type="dxa" w:w="3312"/>
            <w:shd w:fill="FFFFFF"/>
          </w:tcPr>
          <w:p>
            <w:pPr>
              <w:spacing w:before="40" w:after="40" w:line="276" w:lineRule="auto"/>
            </w:pPr>
            <w:r>
              <w:rPr>
                <w:rFonts w:ascii="Calibri" w:hAnsi="Calibri"/>
                <w:color w:val="2C3444"/>
                <w:sz w:val="17"/>
              </w:rPr>
              <w:t>Issues W3C Verifiable Credentials;</w:t>
              <w:br/>
              <w:t>uses Sparse Merkle Tree accumulators</w:t>
              <w:br/>
              <w:t>for revocation on Ethereum L1.</w:t>
            </w:r>
          </w:p>
        </w:tc>
        <w:tc>
          <w:tcPr>
            <w:tcW w:type="dxa" w:w="3888"/>
            <w:shd w:fill="FFFFFF"/>
          </w:tcPr>
          <w:p>
            <w:pPr>
              <w:spacing w:before="40" w:after="40" w:line="276" w:lineRule="auto"/>
            </w:pPr>
            <w:r>
              <w:rPr>
                <w:rFonts w:ascii="Calibri" w:hAnsi="Calibri"/>
                <w:color w:val="2C3444"/>
                <w:sz w:val="17"/>
              </w:rPr>
              <w:t>O(log N) revocation; 12–15 min latency;</w:t>
              <w:br/>
              <w:t>$2–$45 gas per update. No hardware</w:t>
              <w:br/>
              <w:t>enclave coupling. No BN254 pairing opcode.</w:t>
            </w:r>
          </w:p>
        </w:tc>
      </w:tr>
      <w:tr>
        <w:tc>
          <w:tcPr>
            <w:tcW w:type="dxa" w:w="2160"/>
            <w:shd w:fill="F1F5F9"/>
          </w:tcPr>
          <w:p>
            <w:pPr>
              <w:spacing w:before="40" w:after="40" w:line="276" w:lineRule="auto"/>
            </w:pPr>
            <w:r>
              <w:rPr>
                <w:rFonts w:ascii="Calibri" w:hAnsi="Calibri"/>
                <w:color w:val="2C3444"/>
                <w:sz w:val="17"/>
              </w:rPr>
              <w:t>Worldcoin (World ID)</w:t>
            </w:r>
          </w:p>
        </w:tc>
        <w:tc>
          <w:tcPr>
            <w:tcW w:type="dxa" w:w="3312"/>
            <w:shd w:fill="F1F5F9"/>
          </w:tcPr>
          <w:p>
            <w:pPr>
              <w:spacing w:before="40" w:after="40" w:line="276" w:lineRule="auto"/>
            </w:pPr>
            <w:r>
              <w:rPr>
                <w:rFonts w:ascii="Calibri" w:hAnsi="Calibri"/>
                <w:color w:val="2C3444"/>
                <w:sz w:val="17"/>
              </w:rPr>
              <w:t>Iris-based biometric Proof-of-Personhood</w:t>
              <w:br/>
              <w:t>using Semaphore protocol + Orb hardware.</w:t>
            </w:r>
          </w:p>
        </w:tc>
        <w:tc>
          <w:tcPr>
            <w:tcW w:type="dxa" w:w="3888"/>
            <w:shd w:fill="F1F5F9"/>
          </w:tcPr>
          <w:p>
            <w:pPr>
              <w:spacing w:before="40" w:after="40" w:line="276" w:lineRule="auto"/>
            </w:pPr>
            <w:r>
              <w:rPr>
                <w:rFonts w:ascii="Calibri" w:hAnsi="Calibri"/>
                <w:color w:val="2C3444"/>
                <w:sz w:val="17"/>
              </w:rPr>
              <w:t>Requires $5,000+ proprietary scanner.</w:t>
              <w:br/>
              <w:t>Centralized biometric custody.</w:t>
              <w:br/>
              <w:t>No government credential ingestion.</w:t>
            </w:r>
          </w:p>
        </w:tc>
      </w:tr>
      <w:tr>
        <w:tc>
          <w:tcPr>
            <w:tcW w:type="dxa" w:w="2160"/>
            <w:shd w:fill="FFFFFF"/>
          </w:tcPr>
          <w:p>
            <w:pPr>
              <w:spacing w:before="40" w:after="40" w:line="276" w:lineRule="auto"/>
            </w:pPr>
            <w:r>
              <w:rPr>
                <w:rFonts w:ascii="Calibri" w:hAnsi="Calibri"/>
                <w:color w:val="2C3444"/>
                <w:sz w:val="17"/>
              </w:rPr>
              <w:t>FIDO-AC</w:t>
              <w:br/>
              <w:t>(Yeoh et al., USENIX '23)</w:t>
            </w:r>
          </w:p>
        </w:tc>
        <w:tc>
          <w:tcPr>
            <w:tcW w:type="dxa" w:w="3312"/>
            <w:shd w:fill="FFFFFF"/>
          </w:tcPr>
          <w:p>
            <w:pPr>
              <w:spacing w:before="40" w:after="40" w:line="276" w:lineRule="auto"/>
            </w:pPr>
            <w:r>
              <w:rPr>
                <w:rFonts w:ascii="Calibri" w:hAnsi="Calibri"/>
                <w:color w:val="2C3444"/>
                <w:sz w:val="17"/>
              </w:rPr>
              <w:t>Extends FIDO2 with ZK attribute proofs</w:t>
              <w:br/>
              <w:t>from ePassports using BBS+ signatures.</w:t>
            </w:r>
          </w:p>
        </w:tc>
        <w:tc>
          <w:tcPr>
            <w:tcW w:type="dxa" w:w="3888"/>
            <w:shd w:fill="FFFFFF"/>
          </w:tcPr>
          <w:p>
            <w:pPr>
              <w:spacing w:before="40" w:after="40" w:line="276" w:lineRule="auto"/>
            </w:pPr>
            <w:r>
              <w:rPr>
                <w:rFonts w:ascii="Calibri" w:hAnsi="Calibri"/>
                <w:color w:val="2C3444"/>
                <w:sz w:val="17"/>
              </w:rPr>
              <w:t>Uses BBS+ (not Groth16). No on-chain</w:t>
              <w:br/>
              <w:t>revocation. No Algorand integration.</w:t>
              <w:br/>
              <w:t>No constant-time O(1) Box Storage.</w:t>
            </w:r>
          </w:p>
        </w:tc>
      </w:tr>
      <w:tr>
        <w:tc>
          <w:tcPr>
            <w:tcW w:type="dxa" w:w="2160"/>
            <w:shd w:fill="F1F5F9"/>
          </w:tcPr>
          <w:p>
            <w:pPr>
              <w:spacing w:before="40" w:after="40" w:line="276" w:lineRule="auto"/>
            </w:pPr>
            <w:r>
              <w:rPr>
                <w:rFonts w:ascii="Calibri" w:hAnsi="Calibri"/>
                <w:color w:val="2C3444"/>
                <w:sz w:val="17"/>
              </w:rPr>
              <w:t>Cloudflare Private</w:t>
              <w:br/>
              <w:t>Attestation (PAT)</w:t>
            </w:r>
          </w:p>
        </w:tc>
        <w:tc>
          <w:tcPr>
            <w:tcW w:type="dxa" w:w="3312"/>
            <w:shd w:fill="F1F5F9"/>
          </w:tcPr>
          <w:p>
            <w:pPr>
              <w:spacing w:before="40" w:after="40" w:line="276" w:lineRule="auto"/>
            </w:pPr>
            <w:r>
              <w:rPr>
                <w:rFonts w:ascii="Calibri" w:hAnsi="Calibri"/>
                <w:color w:val="2C3444"/>
                <w:sz w:val="17"/>
              </w:rPr>
              <w:t>Uses ZKPs for privacy-preserving</w:t>
              <w:br/>
              <w:t>device attestation for bot detection.</w:t>
            </w:r>
          </w:p>
        </w:tc>
        <w:tc>
          <w:tcPr>
            <w:tcW w:type="dxa" w:w="3888"/>
            <w:shd w:fill="F1F5F9"/>
          </w:tcPr>
          <w:p>
            <w:pPr>
              <w:spacing w:before="40" w:after="40" w:line="276" w:lineRule="auto"/>
            </w:pPr>
            <w:r>
              <w:rPr>
                <w:rFonts w:ascii="Calibri" w:hAnsi="Calibri"/>
                <w:color w:val="2C3444"/>
                <w:sz w:val="17"/>
              </w:rPr>
              <w:t>Authentication-only; no identity/KYC</w:t>
              <w:br/>
              <w:t>credential verification. No revocation.</w:t>
              <w:br/>
              <w:t>No government document ingestion.</w:t>
            </w:r>
          </w:p>
        </w:tc>
      </w:tr>
      <w:tr>
        <w:tc>
          <w:tcPr>
            <w:tcW w:type="dxa" w:w="2160"/>
            <w:shd w:fill="FFFFFF"/>
          </w:tcPr>
          <w:p>
            <w:pPr>
              <w:spacing w:before="40" w:after="40" w:line="276" w:lineRule="auto"/>
            </w:pPr>
            <w:r>
              <w:rPr>
                <w:rFonts w:ascii="Calibri" w:hAnsi="Calibri"/>
                <w:color w:val="2C3444"/>
                <w:sz w:val="17"/>
              </w:rPr>
              <w:t>TIP Protocol</w:t>
            </w:r>
          </w:p>
        </w:tc>
        <w:tc>
          <w:tcPr>
            <w:tcW w:type="dxa" w:w="3312"/>
            <w:shd w:fill="FFFFFF"/>
          </w:tcPr>
          <w:p>
            <w:pPr>
              <w:spacing w:before="40" w:after="40" w:line="276" w:lineRule="auto"/>
            </w:pPr>
            <w:r>
              <w:rPr>
                <w:rFonts w:ascii="Calibri" w:hAnsi="Calibri"/>
                <w:color w:val="2C3444"/>
                <w:sz w:val="17"/>
              </w:rPr>
              <w:t>Uses Secure Enclave pepper for</w:t>
              <w:br/>
              <w:t>deduplication in Proof-of-Personhood.</w:t>
            </w:r>
          </w:p>
        </w:tc>
        <w:tc>
          <w:tcPr>
            <w:tcW w:type="dxa" w:w="3888"/>
            <w:shd w:fill="FFFFFF"/>
          </w:tcPr>
          <w:p>
            <w:pPr>
              <w:spacing w:before="40" w:after="40" w:line="276" w:lineRule="auto"/>
            </w:pPr>
            <w:r>
              <w:rPr>
                <w:rFonts w:ascii="Calibri" w:hAnsi="Calibri"/>
                <w:color w:val="2C3444"/>
                <w:sz w:val="17"/>
              </w:rPr>
              <w:t>No ZK proof of government credentials.</w:t>
              <w:br/>
              <w:t>No on-chain pairing verification.</w:t>
              <w:br/>
              <w:t>No decentralized revocation.</w:t>
            </w:r>
          </w:p>
        </w:tc>
      </w:tr>
    </w:tbl>
    <w:p>
      <w:pPr>
        <w:spacing w:before="0" w:after="40" w:line="276" w:lineRule="auto"/>
      </w:pPr>
    </w:p>
    <w:p>
      <w:pPr>
        <w:keepNext/>
        <w:spacing w:before="280" w:after="120"/>
      </w:pPr>
      <w:r>
        <w:rPr>
          <w:rFonts w:ascii="Calibri" w:hAnsi="Calibri"/>
          <w:b/>
          <w:color w:val="1D6FA5"/>
          <w:sz w:val="25"/>
        </w:rPr>
        <w:t>3.2  ZERO-ID's Three Inventive Steps (Not Found in Any Prior Art)</w:t>
      </w:r>
    </w:p>
    <w:p>
      <w:pPr>
        <w:spacing w:before="0" w:after="100" w:line="276" w:lineRule="auto"/>
      </w:pPr>
      <w:r>
        <w:rPr>
          <w:rFonts w:ascii="Calibri" w:hAnsi="Calibri"/>
          <w:b/>
          <w:color w:val="333E50"/>
          <w:sz w:val="20"/>
        </w:rPr>
        <w:t xml:space="preserve">Critical Novelty Finding: </w:t>
      </w:r>
      <w:r>
        <w:rPr>
          <w:rFonts w:ascii="Calibri" w:hAnsi="Calibri"/>
          <w:color w:val="2C3444"/>
          <w:sz w:val="20"/>
        </w:rPr>
        <w:t>No single prior-art system, patent, or academic publication combines all three of the following inventive steps:</w:t>
      </w:r>
    </w:p>
    <w:p>
      <w:pPr>
        <w:pStyle w:val="ListBullet"/>
        <w:spacing w:before="0" w:after="60" w:line="269" w:lineRule="auto"/>
      </w:pPr>
      <w:r>
        <w:rPr>
          <w:rFonts w:ascii="Calibri" w:hAnsi="Calibri"/>
          <w:b/>
          <w:color w:val="333E50"/>
          <w:sz w:val="20"/>
        </w:rPr>
        <w:t xml:space="preserve">Inventive Step 1: </w:t>
      </w:r>
      <w:r>
        <w:rPr>
          <w:rFonts w:ascii="Calibri" w:hAnsi="Calibri"/>
          <w:color w:val="2C3444"/>
          <w:sz w:val="20"/>
        </w:rPr>
        <w:t>Cryptographic Hardware-Enclave Parameter Hash-Chaining for ZK Proofs — ZERO-ID computes Challenge = SHA-256(Proof_A || Proof_B || Proof_C || NullifierHash || Timestamp || VerifierID) and signs this composite digest using a non-exportable ECDSA-P256 key inside the device's hardware secure enclave, triggered by biometric authentication. This cryptographically fuses the ZK proof to the physical device, making proof forwarding mathematically impossible. No prior-art system performs this specific hash-chaining of Groth16 elliptic curve proof points into a FIDO2 hardware attestation challenge.</w:t>
      </w:r>
    </w:p>
    <w:p>
      <w:pPr>
        <w:pStyle w:val="ListBullet"/>
        <w:spacing w:before="0" w:after="60" w:line="269" w:lineRule="auto"/>
      </w:pPr>
      <w:r>
        <w:rPr>
          <w:rFonts w:ascii="Calibri" w:hAnsi="Calibri"/>
          <w:b/>
          <w:color w:val="333E50"/>
          <w:sz w:val="20"/>
        </w:rPr>
        <w:t xml:space="preserve">Inventive Step 2: </w:t>
      </w:r>
      <w:r>
        <w:rPr>
          <w:rFonts w:ascii="Calibri" w:hAnsi="Calibri"/>
          <w:color w:val="2C3444"/>
          <w:sz w:val="20"/>
        </w:rPr>
        <w:t>Constant-Time O(1) Decentralized Revocation via Flat Key-Value Box Storage — Rather than using O(log N) Merkle tree accumulators (Polygon ID, Iden3, Semaphore), ZERO-ID writes a 1-byte revocation flag to an Algorand Layer-1 Box Storage slot indexed directly by the 32-byte Poseidon nullifier hash. Revocation queries are O(1) direct lookups with 3.80-second global propagation. No prior-art system uses flat key-value blockchain box storage for constant-time identity credential revocation.</w:t>
      </w:r>
    </w:p>
    <w:p>
      <w:pPr>
        <w:pStyle w:val="ListBullet"/>
        <w:spacing w:before="0" w:after="60" w:line="269" w:lineRule="auto"/>
      </w:pPr>
      <w:r>
        <w:rPr>
          <w:rFonts w:ascii="Calibri" w:hAnsi="Calibri"/>
          <w:b/>
          <w:color w:val="333E50"/>
          <w:sz w:val="20"/>
        </w:rPr>
        <w:t xml:space="preserve">Inventive Step 3: </w:t>
      </w:r>
      <w:r>
        <w:rPr>
          <w:rFonts w:ascii="Calibri" w:hAnsi="Calibri"/>
          <w:color w:val="2C3444"/>
          <w:sz w:val="20"/>
        </w:rPr>
        <w:t>End-to-End Zero-PII Client-Side Proving with Volatile Memory Purging from Government-Signed XML Envelopes — ZERO-ID ingests UIDAI RSA-2048 digitally signed e-KYC XML files, verifies the signature locally in ephemeral browser memory, extracts private witness attributes, generates Groth16 proofs in WASM, and cryptographically purges all raw identity data before the proof leaves the device. The verifier retains exactly 0 bytes of PII.</w:t>
      </w:r>
    </w:p>
    <w:p>
      <w:pPr>
        <w:keepNext/>
        <w:spacing w:before="280" w:after="120"/>
      </w:pPr>
      <w:r>
        <w:rPr>
          <w:rFonts w:ascii="Calibri" w:hAnsi="Calibri"/>
          <w:b/>
          <w:color w:val="1D6FA5"/>
          <w:sz w:val="25"/>
        </w:rPr>
        <w:t>3.3  Patentability Under Indian Law</w:t>
      </w:r>
    </w:p>
    <w:p>
      <w:pPr>
        <w:spacing w:before="0" w:after="100" w:line="276" w:lineRule="auto"/>
      </w:pPr>
      <w:r>
        <w:rPr>
          <w:rFonts w:ascii="Calibri" w:hAnsi="Calibri"/>
          <w:color w:val="2C3444"/>
          <w:sz w:val="20"/>
        </w:rPr>
        <w:t>Under Section 3(k) of the Indian Patents Act 1970, 'a computer programme per se' is excluded from patentability. However, the landmark Delhi High Court judgment in Ferid Allani v. Union of India (2019) established that computer-related inventions demonstrating a concrete 'technical effect' or 'technical contribution' are patentable. The CRI Guidelines for Examination of Computer-Related Inventions further clarify that improvements to device efficiency, communication speed, security, or memory utilization constitute patentable technical effects.</w:t>
      </w:r>
    </w:p>
    <w:p>
      <w:pPr>
        <w:spacing w:before="0" w:after="100" w:line="276" w:lineRule="auto"/>
      </w:pPr>
      <w:r>
        <w:rPr>
          <w:rFonts w:ascii="Calibri" w:hAnsi="Calibri"/>
          <w:color w:val="2C3444"/>
          <w:sz w:val="20"/>
        </w:rPr>
        <w:t>ZERO-ID demonstrates four quantifiable, empirically measured technical effects that satisfy the Section 3(k) / Ferid Allani test:</w:t>
      </w:r>
    </w:p>
    <w:p>
      <w:pPr>
        <w:pStyle w:val="ListBullet"/>
        <w:spacing w:before="0" w:after="60" w:line="269" w:lineRule="auto"/>
      </w:pPr>
      <w:r>
        <w:rPr>
          <w:rFonts w:ascii="Calibri" w:hAnsi="Calibri"/>
          <w:b/>
          <w:color w:val="333E50"/>
          <w:sz w:val="20"/>
        </w:rPr>
        <w:t xml:space="preserve">1. </w:t>
      </w:r>
      <w:r>
        <w:rPr>
          <w:rFonts w:ascii="Calibri" w:hAnsi="Calibri"/>
          <w:color w:val="2C3444"/>
          <w:sz w:val="20"/>
        </w:rPr>
        <w:t>Revocation lookup complexity reduced from O(log N) to O(1) — a fundamental algorithmic improvement in computational state access.</w:t>
      </w:r>
    </w:p>
    <w:p>
      <w:pPr>
        <w:pStyle w:val="ListBullet"/>
        <w:spacing w:before="0" w:after="60" w:line="269" w:lineRule="auto"/>
      </w:pPr>
      <w:r>
        <w:rPr>
          <w:rFonts w:ascii="Calibri" w:hAnsi="Calibri"/>
          <w:b/>
          <w:color w:val="333E50"/>
          <w:sz w:val="20"/>
        </w:rPr>
        <w:t xml:space="preserve">2. </w:t>
      </w:r>
      <w:r>
        <w:rPr>
          <w:rFonts w:ascii="Calibri" w:hAnsi="Calibri"/>
          <w:color w:val="2C3444"/>
          <w:sz w:val="20"/>
        </w:rPr>
        <w:t>Revocation propagation latency reduced by 99.6% (from ~900–1800s to 3.80s) — a measurable improvement in communication and settlement speed.</w:t>
      </w:r>
    </w:p>
    <w:p>
      <w:pPr>
        <w:pStyle w:val="ListBullet"/>
        <w:spacing w:before="0" w:after="60" w:line="269" w:lineRule="auto"/>
      </w:pPr>
      <w:r>
        <w:rPr>
          <w:rFonts w:ascii="Calibri" w:hAnsi="Calibri"/>
          <w:b/>
          <w:color w:val="333E50"/>
          <w:sz w:val="20"/>
        </w:rPr>
        <w:t xml:space="preserve">3. </w:t>
      </w:r>
      <w:r>
        <w:rPr>
          <w:rFonts w:ascii="Calibri" w:hAnsi="Calibri"/>
          <w:color w:val="2C3444"/>
          <w:sz w:val="20"/>
        </w:rPr>
        <w:t>Proof transmission payload reduced by 99.8% (from 40–100 KB to 128 bytes) — a concrete improvement in bandwidth efficiency enabling mobile QR transmission.</w:t>
      </w:r>
    </w:p>
    <w:p>
      <w:pPr>
        <w:pStyle w:val="ListBullet"/>
        <w:spacing w:before="0" w:after="60" w:line="269" w:lineRule="auto"/>
      </w:pPr>
      <w:r>
        <w:rPr>
          <w:rFonts w:ascii="Calibri" w:hAnsi="Calibri"/>
          <w:b/>
          <w:color w:val="333E50"/>
          <w:sz w:val="20"/>
        </w:rPr>
        <w:t xml:space="preserve">4. </w:t>
      </w:r>
      <w:r>
        <w:rPr>
          <w:rFonts w:ascii="Calibri" w:hAnsi="Calibri"/>
          <w:color w:val="2C3444"/>
          <w:sz w:val="20"/>
        </w:rPr>
        <w:t>Verifier data breach surface reduced from 1,450 bytes to 0 bytes (100% elimination) — a tangible improvement in data security and privacy.</w:t>
      </w:r>
    </w:p>
    <w:tbl>
      <w:tblPr>
        <w:tblW w:type="auto" w:w="0"/>
        <w:jc w:val="center"/>
        <w:tblLayout w:type="fixed"/>
        <w:tblLook w:firstColumn="1" w:firstRow="1" w:lastColumn="0" w:lastRow="0" w:noHBand="0" w:noVBand="1" w:val="04A0"/>
      </w:tblPr>
      <w:tblGrid>
        <w:gridCol w:w="9360"/>
      </w:tblGrid>
      <w:tr>
        <w:tc>
          <w:tcPr>
            <w:tcW w:type="dxa" w:w="9360"/>
            <w:shd w:fill="EFF6FF"/>
            <w:tcBorders>
              <w:left w:val="single" w:sz="24" w:color="1D6FA5"/>
              <w:top w:val="none"/>
              <w:right w:val="none"/>
              <w:bottom w:val="none"/>
            </w:tcBorders>
          </w:tcPr>
          <w:p>
            <w:pPr>
              <w:spacing w:before="60" w:after="60" w:line="276" w:lineRule="auto"/>
            </w:pPr>
            <w:r>
              <w:rPr>
                <w:rFonts w:ascii="Calibri" w:hAnsi="Calibri"/>
                <w:b/>
                <w:color w:val="0F294F"/>
                <w:sz w:val="19"/>
              </w:rPr>
              <w:t xml:space="preserve">📌 PATENTABILITY CONCLUSION: </w:t>
            </w:r>
            <w:r>
              <w:rPr>
                <w:rFonts w:ascii="Calibri" w:hAnsi="Calibri"/>
                <w:color w:val="333E50"/>
                <w:sz w:val="19"/>
              </w:rPr>
              <w:t>ZERO-ID is NOT a computer program per se. It is a cryptographic apparatus producing measurable technical effects in computational complexity, communication latency, bandwidth efficiency, and data security—satisfying the Ferid Allani / CRI patentability threshold.</w:t>
            </w:r>
          </w:p>
        </w:tc>
      </w:tr>
    </w:tbl>
    <w:p>
      <w:pPr>
        <w:spacing w:before="0" w:after="80" w:line="276" w:lineRule="auto"/>
      </w:pPr>
    </w:p>
    <w:p>
      <w:pPr>
        <w:keepNext/>
        <w:spacing w:before="280" w:after="120"/>
      </w:pPr>
      <w:r>
        <w:rPr>
          <w:rFonts w:ascii="Calibri" w:hAnsi="Calibri"/>
          <w:b/>
          <w:color w:val="0F294F"/>
          <w:sz w:val="30"/>
        </w:rPr>
        <w:t>4. Research and Conceptual Development</w:t>
      </w:r>
    </w:p>
    <w:p>
      <w:pPr>
        <w:keepNext/>
        <w:spacing w:before="280" w:after="120"/>
      </w:pPr>
      <w:r>
        <w:rPr>
          <w:rFonts w:ascii="Calibri" w:hAnsi="Calibri"/>
          <w:b/>
          <w:color w:val="1D6FA5"/>
          <w:sz w:val="25"/>
        </w:rPr>
        <w:t>4.1  Proving System Selection: Groth16 vs. Alternatives</w:t>
      </w:r>
    </w:p>
    <w:p>
      <w:pPr>
        <w:spacing w:before="0" w:after="100" w:line="276" w:lineRule="auto"/>
      </w:pPr>
      <w:r>
        <w:rPr>
          <w:rFonts w:ascii="Calibri" w:hAnsi="Calibri"/>
          <w:color w:val="2C3444"/>
          <w:sz w:val="20"/>
        </w:rPr>
        <w:t>The research team evaluated four candidate ZK proving systems against the strict requirements of mobile web execution (&lt;2s prover time), QR code transmissibility (&lt;3 KB payload), and on-chain verification opcode availability:</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c>
          <w:tcPr>
            <w:tcW w:type="dxa" w:w="1872"/>
            <w:shd w:fill="0F294F"/>
          </w:tcPr>
          <w:p>
            <w:pPr>
              <w:spacing w:before="60" w:after="60" w:line="276" w:lineRule="auto"/>
            </w:pPr>
            <w:r>
              <w:rPr>
                <w:rFonts w:ascii="Calibri" w:hAnsi="Calibri"/>
                <w:b/>
                <w:color w:val="FFFFFF"/>
                <w:sz w:val="17"/>
              </w:rPr>
              <w:t>Proof System</w:t>
            </w:r>
          </w:p>
        </w:tc>
        <w:tc>
          <w:tcPr>
            <w:tcW w:type="dxa" w:w="1872"/>
            <w:shd w:fill="0F294F"/>
          </w:tcPr>
          <w:p>
            <w:pPr>
              <w:spacing w:before="60" w:after="60" w:line="276" w:lineRule="auto"/>
            </w:pPr>
            <w:r>
              <w:rPr>
                <w:rFonts w:ascii="Calibri" w:hAnsi="Calibri"/>
                <w:b/>
                <w:color w:val="FFFFFF"/>
                <w:sz w:val="17"/>
              </w:rPr>
              <w:t>Proof Size</w:t>
            </w:r>
          </w:p>
        </w:tc>
        <w:tc>
          <w:tcPr>
            <w:tcW w:type="dxa" w:w="1872"/>
            <w:shd w:fill="0F294F"/>
          </w:tcPr>
          <w:p>
            <w:pPr>
              <w:spacing w:before="60" w:after="60" w:line="276" w:lineRule="auto"/>
            </w:pPr>
            <w:r>
              <w:rPr>
                <w:rFonts w:ascii="Calibri" w:hAnsi="Calibri"/>
                <w:b/>
                <w:color w:val="FFFFFF"/>
                <w:sz w:val="17"/>
              </w:rPr>
              <w:t>Verification Time</w:t>
            </w:r>
          </w:p>
        </w:tc>
        <w:tc>
          <w:tcPr>
            <w:tcW w:type="dxa" w:w="1872"/>
            <w:shd w:fill="0F294F"/>
          </w:tcPr>
          <w:p>
            <w:pPr>
              <w:spacing w:before="60" w:after="60" w:line="276" w:lineRule="auto"/>
            </w:pPr>
            <w:r>
              <w:rPr>
                <w:rFonts w:ascii="Calibri" w:hAnsi="Calibri"/>
                <w:b/>
                <w:color w:val="FFFFFF"/>
                <w:sz w:val="17"/>
              </w:rPr>
              <w:t>On-Chain Opcode</w:t>
            </w:r>
          </w:p>
        </w:tc>
        <w:tc>
          <w:tcPr>
            <w:tcW w:type="dxa" w:w="1872"/>
            <w:shd w:fill="0F294F"/>
          </w:tcPr>
          <w:p>
            <w:pPr>
              <w:spacing w:before="60" w:after="60" w:line="276" w:lineRule="auto"/>
            </w:pPr>
            <w:r>
              <w:rPr>
                <w:rFonts w:ascii="Calibri" w:hAnsi="Calibri"/>
                <w:b/>
                <w:color w:val="FFFFFF"/>
                <w:sz w:val="17"/>
              </w:rPr>
              <w:t>Mobile QR Fit</w:t>
            </w:r>
          </w:p>
        </w:tc>
      </w:tr>
      <w:tr>
        <w:tc>
          <w:tcPr>
            <w:tcW w:type="dxa" w:w="1872"/>
            <w:shd w:fill="F1F5F9"/>
          </w:tcPr>
          <w:p>
            <w:pPr>
              <w:spacing w:before="40" w:after="40" w:line="276" w:lineRule="auto"/>
            </w:pPr>
            <w:r>
              <w:rPr>
                <w:rFonts w:ascii="Calibri" w:hAnsi="Calibri"/>
                <w:color w:val="2C3444"/>
                <w:sz w:val="17"/>
              </w:rPr>
              <w:t>Groth16 (BN254)</w:t>
            </w:r>
          </w:p>
        </w:tc>
        <w:tc>
          <w:tcPr>
            <w:tcW w:type="dxa" w:w="1584"/>
            <w:shd w:fill="F1F5F9"/>
          </w:tcPr>
          <w:p>
            <w:pPr>
              <w:spacing w:before="40" w:after="40" w:line="276" w:lineRule="auto"/>
            </w:pPr>
            <w:r>
              <w:rPr>
                <w:rFonts w:ascii="Calibri" w:hAnsi="Calibri"/>
                <w:color w:val="2C3444"/>
                <w:sz w:val="17"/>
              </w:rPr>
              <w:t>128 B (constant)</w:t>
            </w:r>
          </w:p>
        </w:tc>
        <w:tc>
          <w:tcPr>
            <w:tcW w:type="dxa" w:w="1728"/>
            <w:shd w:fill="F1F5F9"/>
          </w:tcPr>
          <w:p>
            <w:pPr>
              <w:spacing w:before="40" w:after="40" w:line="276" w:lineRule="auto"/>
            </w:pPr>
            <w:r>
              <w:rPr>
                <w:rFonts w:ascii="Calibri" w:hAnsi="Calibri"/>
                <w:color w:val="2C3444"/>
                <w:sz w:val="17"/>
              </w:rPr>
              <w:t>&lt;4 ms (3 pairings)</w:t>
            </w:r>
          </w:p>
        </w:tc>
        <w:tc>
          <w:tcPr>
            <w:tcW w:type="dxa" w:w="2160"/>
            <w:shd w:fill="F1F5F9"/>
          </w:tcPr>
          <w:p>
            <w:pPr>
              <w:spacing w:before="40" w:after="40" w:line="276" w:lineRule="auto"/>
            </w:pPr>
            <w:r>
              <w:rPr>
                <w:rFonts w:ascii="Calibri" w:hAnsi="Calibri"/>
                <w:color w:val="2C3444"/>
                <w:sz w:val="17"/>
              </w:rPr>
              <w:t>Native bn254_pairing</w:t>
              <w:br/>
              <w:t>(AVM + EVM)</w:t>
            </w:r>
          </w:p>
        </w:tc>
        <w:tc>
          <w:tcPr>
            <w:tcW w:type="dxa" w:w="1728"/>
            <w:shd w:fill="F1F5F9"/>
          </w:tcPr>
          <w:p>
            <w:pPr>
              <w:spacing w:before="40" w:after="40" w:line="276" w:lineRule="auto"/>
            </w:pPr>
            <w:r>
              <w:rPr>
                <w:rFonts w:ascii="Calibri" w:hAnsi="Calibri"/>
                <w:color w:val="2C3444"/>
                <w:sz w:val="17"/>
              </w:rPr>
              <w:t>OPTIMAL</w:t>
              <w:br/>
              <w:t>(QR Version 4)</w:t>
            </w:r>
          </w:p>
        </w:tc>
      </w:tr>
      <w:tr>
        <w:tc>
          <w:tcPr>
            <w:tcW w:type="dxa" w:w="1872"/>
            <w:shd w:fill="FFFFFF"/>
          </w:tcPr>
          <w:p>
            <w:pPr>
              <w:spacing w:before="40" w:after="40" w:line="276" w:lineRule="auto"/>
            </w:pPr>
            <w:r>
              <w:rPr>
                <w:rFonts w:ascii="Calibri" w:hAnsi="Calibri"/>
                <w:color w:val="2C3444"/>
                <w:sz w:val="17"/>
              </w:rPr>
              <w:t>PLONK (KZG)</w:t>
            </w:r>
          </w:p>
        </w:tc>
        <w:tc>
          <w:tcPr>
            <w:tcW w:type="dxa" w:w="1584"/>
            <w:shd w:fill="FFFFFF"/>
          </w:tcPr>
          <w:p>
            <w:pPr>
              <w:spacing w:before="40" w:after="40" w:line="276" w:lineRule="auto"/>
            </w:pPr>
            <w:r>
              <w:rPr>
                <w:rFonts w:ascii="Calibri" w:hAnsi="Calibri"/>
                <w:color w:val="2C3444"/>
                <w:sz w:val="17"/>
              </w:rPr>
              <w:t>~450–800 B</w:t>
            </w:r>
          </w:p>
        </w:tc>
        <w:tc>
          <w:tcPr>
            <w:tcW w:type="dxa" w:w="1728"/>
            <w:shd w:fill="FFFFFF"/>
          </w:tcPr>
          <w:p>
            <w:pPr>
              <w:spacing w:before="40" w:after="40" w:line="276" w:lineRule="auto"/>
            </w:pPr>
            <w:r>
              <w:rPr>
                <w:rFonts w:ascii="Calibri" w:hAnsi="Calibri"/>
                <w:color w:val="2C3444"/>
                <w:sz w:val="17"/>
              </w:rPr>
              <w:t>~12–25 ms</w:t>
            </w:r>
          </w:p>
        </w:tc>
        <w:tc>
          <w:tcPr>
            <w:tcW w:type="dxa" w:w="2160"/>
            <w:shd w:fill="FFFFFF"/>
          </w:tcPr>
          <w:p>
            <w:pPr>
              <w:spacing w:before="40" w:after="40" w:line="276" w:lineRule="auto"/>
            </w:pPr>
            <w:r>
              <w:rPr>
                <w:rFonts w:ascii="Calibri" w:hAnsi="Calibri"/>
                <w:color w:val="2C3444"/>
                <w:sz w:val="17"/>
              </w:rPr>
              <w:t>Polynomial opening</w:t>
              <w:br/>
              <w:t>required</w:t>
            </w:r>
          </w:p>
        </w:tc>
        <w:tc>
          <w:tcPr>
            <w:tcW w:type="dxa" w:w="1728"/>
            <w:shd w:fill="FFFFFF"/>
          </w:tcPr>
          <w:p>
            <w:pPr>
              <w:spacing w:before="40" w:after="40" w:line="276" w:lineRule="auto"/>
            </w:pPr>
            <w:r>
              <w:rPr>
                <w:rFonts w:ascii="Calibri" w:hAnsi="Calibri"/>
                <w:color w:val="2C3444"/>
                <w:sz w:val="17"/>
              </w:rPr>
              <w:t>Moderate</w:t>
            </w:r>
          </w:p>
        </w:tc>
      </w:tr>
      <w:tr>
        <w:tc>
          <w:tcPr>
            <w:tcW w:type="dxa" w:w="1872"/>
            <w:shd w:fill="F1F5F9"/>
          </w:tcPr>
          <w:p>
            <w:pPr>
              <w:spacing w:before="40" w:after="40" w:line="276" w:lineRule="auto"/>
            </w:pPr>
            <w:r>
              <w:rPr>
                <w:rFonts w:ascii="Calibri" w:hAnsi="Calibri"/>
                <w:color w:val="2C3444"/>
                <w:sz w:val="17"/>
              </w:rPr>
              <w:t>STARK (FRI)</w:t>
            </w:r>
          </w:p>
        </w:tc>
        <w:tc>
          <w:tcPr>
            <w:tcW w:type="dxa" w:w="1584"/>
            <w:shd w:fill="F1F5F9"/>
          </w:tcPr>
          <w:p>
            <w:pPr>
              <w:spacing w:before="40" w:after="40" w:line="276" w:lineRule="auto"/>
            </w:pPr>
            <w:r>
              <w:rPr>
                <w:rFonts w:ascii="Calibri" w:hAnsi="Calibri"/>
                <w:color w:val="2C3444"/>
                <w:sz w:val="17"/>
              </w:rPr>
              <w:t>40–100 KB</w:t>
            </w:r>
          </w:p>
        </w:tc>
        <w:tc>
          <w:tcPr>
            <w:tcW w:type="dxa" w:w="1728"/>
            <w:shd w:fill="F1F5F9"/>
          </w:tcPr>
          <w:p>
            <w:pPr>
              <w:spacing w:before="40" w:after="40" w:line="276" w:lineRule="auto"/>
            </w:pPr>
            <w:r>
              <w:rPr>
                <w:rFonts w:ascii="Calibri" w:hAnsi="Calibri"/>
                <w:color w:val="2C3444"/>
                <w:sz w:val="17"/>
              </w:rPr>
              <w:t>~50–120 ms</w:t>
            </w:r>
          </w:p>
        </w:tc>
        <w:tc>
          <w:tcPr>
            <w:tcW w:type="dxa" w:w="2160"/>
            <w:shd w:fill="F1F5F9"/>
          </w:tcPr>
          <w:p>
            <w:pPr>
              <w:spacing w:before="40" w:after="40" w:line="276" w:lineRule="auto"/>
            </w:pPr>
            <w:r>
              <w:rPr>
                <w:rFonts w:ascii="Calibri" w:hAnsi="Calibri"/>
                <w:color w:val="2C3444"/>
                <w:sz w:val="17"/>
              </w:rPr>
              <w:t>High hash overhead</w:t>
            </w:r>
          </w:p>
        </w:tc>
        <w:tc>
          <w:tcPr>
            <w:tcW w:type="dxa" w:w="1728"/>
            <w:shd w:fill="F1F5F9"/>
          </w:tcPr>
          <w:p>
            <w:pPr>
              <w:spacing w:before="40" w:after="40" w:line="276" w:lineRule="auto"/>
            </w:pPr>
            <w:r>
              <w:rPr>
                <w:rFonts w:ascii="Calibri" w:hAnsi="Calibri"/>
                <w:color w:val="2C3444"/>
                <w:sz w:val="17"/>
              </w:rPr>
              <w:t>UNUSABLE</w:t>
              <w:br/>
              <w:t>(exceeds QR)</w:t>
            </w:r>
          </w:p>
        </w:tc>
      </w:tr>
      <w:tr>
        <w:tc>
          <w:tcPr>
            <w:tcW w:type="dxa" w:w="1872"/>
            <w:shd w:fill="FFFFFF"/>
          </w:tcPr>
          <w:p>
            <w:pPr>
              <w:spacing w:before="40" w:after="40" w:line="276" w:lineRule="auto"/>
            </w:pPr>
            <w:r>
              <w:rPr>
                <w:rFonts w:ascii="Calibri" w:hAnsi="Calibri"/>
                <w:color w:val="2C3444"/>
                <w:sz w:val="17"/>
              </w:rPr>
              <w:t>Halo2 (IPA)</w:t>
            </w:r>
          </w:p>
        </w:tc>
        <w:tc>
          <w:tcPr>
            <w:tcW w:type="dxa" w:w="1584"/>
            <w:shd w:fill="FFFFFF"/>
          </w:tcPr>
          <w:p>
            <w:pPr>
              <w:spacing w:before="40" w:after="40" w:line="276" w:lineRule="auto"/>
            </w:pPr>
            <w:r>
              <w:rPr>
                <w:rFonts w:ascii="Calibri" w:hAnsi="Calibri"/>
                <w:color w:val="2C3444"/>
                <w:sz w:val="17"/>
              </w:rPr>
              <w:t>~1.2–2 KB</w:t>
            </w:r>
          </w:p>
        </w:tc>
        <w:tc>
          <w:tcPr>
            <w:tcW w:type="dxa" w:w="1728"/>
            <w:shd w:fill="FFFFFF"/>
          </w:tcPr>
          <w:p>
            <w:pPr>
              <w:spacing w:before="40" w:after="40" w:line="276" w:lineRule="auto"/>
            </w:pPr>
            <w:r>
              <w:rPr>
                <w:rFonts w:ascii="Calibri" w:hAnsi="Calibri"/>
                <w:color w:val="2C3444"/>
                <w:sz w:val="17"/>
              </w:rPr>
              <w:t>~30–60 ms</w:t>
            </w:r>
          </w:p>
        </w:tc>
        <w:tc>
          <w:tcPr>
            <w:tcW w:type="dxa" w:w="2160"/>
            <w:shd w:fill="FFFFFF"/>
          </w:tcPr>
          <w:p>
            <w:pPr>
              <w:spacing w:before="40" w:after="40" w:line="276" w:lineRule="auto"/>
            </w:pPr>
            <w:r>
              <w:rPr>
                <w:rFonts w:ascii="Calibri" w:hAnsi="Calibri"/>
                <w:color w:val="2C3444"/>
                <w:sz w:val="17"/>
              </w:rPr>
              <w:t>Complex recursion</w:t>
            </w:r>
          </w:p>
        </w:tc>
        <w:tc>
          <w:tcPr>
            <w:tcW w:type="dxa" w:w="1728"/>
            <w:shd w:fill="FFFFFF"/>
          </w:tcPr>
          <w:p>
            <w:pPr>
              <w:spacing w:before="40" w:after="40" w:line="276" w:lineRule="auto"/>
            </w:pPr>
            <w:r>
              <w:rPr>
                <w:rFonts w:ascii="Calibri" w:hAnsi="Calibri"/>
                <w:color w:val="2C3444"/>
                <w:sz w:val="17"/>
              </w:rPr>
              <w:t>Poor</w:t>
            </w:r>
          </w:p>
        </w:tc>
      </w:tr>
    </w:tbl>
    <w:p>
      <w:pPr>
        <w:spacing w:before="0" w:after="40" w:line="276" w:lineRule="auto"/>
      </w:pPr>
    </w:p>
    <w:p>
      <w:pPr>
        <w:spacing w:before="0" w:after="100" w:line="276" w:lineRule="auto"/>
      </w:pPr>
      <w:r>
        <w:rPr>
          <w:rFonts w:ascii="Calibri" w:hAnsi="Calibri"/>
          <w:b/>
          <w:color w:val="333E50"/>
          <w:sz w:val="20"/>
        </w:rPr>
        <w:t xml:space="preserve">Decision: </w:t>
      </w:r>
      <w:r>
        <w:rPr>
          <w:rFonts w:ascii="Calibri" w:hAnsi="Calibri"/>
          <w:color w:val="2C3444"/>
          <w:sz w:val="20"/>
        </w:rPr>
        <w:t>Groth16 on BN254 was selected for its constant 128-byte proof payload (3 elliptic curve group elements: A in G1, B in G2, C in G1), which fits within standard QR Version 4 codes (33x33 matrix, ~3 KB binary capacity) and maps directly to Algorand's native bn254_pairing AVM opcode for sub-4ms on-chain verification.</w:t>
      </w:r>
    </w:p>
    <w:p>
      <w:pPr>
        <w:keepNext/>
        <w:spacing w:before="280" w:after="120"/>
      </w:pPr>
      <w:r>
        <w:rPr>
          <w:rFonts w:ascii="Calibri" w:hAnsi="Calibri"/>
          <w:b/>
          <w:color w:val="1D6FA5"/>
          <w:sz w:val="25"/>
        </w:rPr>
        <w:t>4.2  Consensus Layer Selection: Algorand vs. EVM</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c>
          <w:tcPr>
            <w:tcW w:type="dxa" w:w="2340"/>
            <w:shd w:fill="0F294F"/>
          </w:tcPr>
          <w:p>
            <w:pPr>
              <w:spacing w:before="60" w:after="60" w:line="276" w:lineRule="auto"/>
            </w:pPr>
            <w:r>
              <w:rPr>
                <w:rFonts w:ascii="Calibri" w:hAnsi="Calibri"/>
                <w:b/>
                <w:color w:val="FFFFFF"/>
                <w:sz w:val="17"/>
              </w:rPr>
              <w:t>Metric</w:t>
            </w:r>
          </w:p>
        </w:tc>
        <w:tc>
          <w:tcPr>
            <w:tcW w:type="dxa" w:w="2340"/>
            <w:shd w:fill="0F294F"/>
          </w:tcPr>
          <w:p>
            <w:pPr>
              <w:spacing w:before="60" w:after="60" w:line="276" w:lineRule="auto"/>
            </w:pPr>
            <w:r>
              <w:rPr>
                <w:rFonts w:ascii="Calibri" w:hAnsi="Calibri"/>
                <w:b/>
                <w:color w:val="FFFFFF"/>
                <w:sz w:val="17"/>
              </w:rPr>
              <w:t>Ethereum L1</w:t>
            </w:r>
          </w:p>
        </w:tc>
        <w:tc>
          <w:tcPr>
            <w:tcW w:type="dxa" w:w="2340"/>
            <w:shd w:fill="0F294F"/>
          </w:tcPr>
          <w:p>
            <w:pPr>
              <w:spacing w:before="60" w:after="60" w:line="276" w:lineRule="auto"/>
            </w:pPr>
            <w:r>
              <w:rPr>
                <w:rFonts w:ascii="Calibri" w:hAnsi="Calibri"/>
                <w:b/>
                <w:color w:val="FFFFFF"/>
                <w:sz w:val="17"/>
              </w:rPr>
              <w:t>Solana</w:t>
            </w:r>
          </w:p>
        </w:tc>
        <w:tc>
          <w:tcPr>
            <w:tcW w:type="dxa" w:w="2340"/>
            <w:shd w:fill="0F294F"/>
          </w:tcPr>
          <w:p>
            <w:pPr>
              <w:spacing w:before="60" w:after="60" w:line="276" w:lineRule="auto"/>
            </w:pPr>
            <w:r>
              <w:rPr>
                <w:rFonts w:ascii="Calibri" w:hAnsi="Calibri"/>
                <w:b/>
                <w:color w:val="FFFFFF"/>
                <w:sz w:val="17"/>
              </w:rPr>
              <w:t>Algorand L1</w:t>
            </w:r>
          </w:p>
        </w:tc>
      </w:tr>
      <w:tr>
        <w:tc>
          <w:tcPr>
            <w:tcW w:type="dxa" w:w="1872"/>
            <w:shd w:fill="F1F5F9"/>
          </w:tcPr>
          <w:p>
            <w:pPr>
              <w:spacing w:before="40" w:after="40" w:line="276" w:lineRule="auto"/>
            </w:pPr>
            <w:r>
              <w:rPr>
                <w:rFonts w:ascii="Calibri" w:hAnsi="Calibri"/>
                <w:color w:val="2C3444"/>
                <w:sz w:val="17"/>
              </w:rPr>
              <w:t>Block Finality</w:t>
            </w:r>
          </w:p>
        </w:tc>
        <w:tc>
          <w:tcPr>
            <w:tcW w:type="dxa" w:w="2304"/>
            <w:shd w:fill="F1F5F9"/>
          </w:tcPr>
          <w:p>
            <w:pPr>
              <w:spacing w:before="40" w:after="40" w:line="276" w:lineRule="auto"/>
            </w:pPr>
            <w:r>
              <w:rPr>
                <w:rFonts w:ascii="Calibri" w:hAnsi="Calibri"/>
                <w:color w:val="2C3444"/>
                <w:sz w:val="17"/>
              </w:rPr>
              <w:t>12–15 min (probabilistic)</w:t>
            </w:r>
          </w:p>
        </w:tc>
        <w:tc>
          <w:tcPr>
            <w:tcW w:type="dxa" w:w="2160"/>
            <w:shd w:fill="F1F5F9"/>
          </w:tcPr>
          <w:p>
            <w:pPr>
              <w:spacing w:before="40" w:after="40" w:line="276" w:lineRule="auto"/>
            </w:pPr>
            <w:r>
              <w:rPr>
                <w:rFonts w:ascii="Calibri" w:hAnsi="Calibri"/>
                <w:color w:val="2C3444"/>
                <w:sz w:val="17"/>
              </w:rPr>
              <w:t>~12.8s (optimistic)</w:t>
            </w:r>
          </w:p>
        </w:tc>
        <w:tc>
          <w:tcPr>
            <w:tcW w:type="dxa" w:w="2304"/>
            <w:shd w:fill="F1F5F9"/>
          </w:tcPr>
          <w:p>
            <w:pPr>
              <w:spacing w:before="40" w:after="40" w:line="276" w:lineRule="auto"/>
            </w:pPr>
            <w:r>
              <w:rPr>
                <w:rFonts w:ascii="Calibri" w:hAnsi="Calibri"/>
                <w:color w:val="2C3444"/>
                <w:sz w:val="17"/>
              </w:rPr>
              <w:t>3.80s (deterministic)</w:t>
            </w:r>
          </w:p>
        </w:tc>
      </w:tr>
      <w:tr>
        <w:tc>
          <w:tcPr>
            <w:tcW w:type="dxa" w:w="1872"/>
            <w:shd w:fill="FFFFFF"/>
          </w:tcPr>
          <w:p>
            <w:pPr>
              <w:spacing w:before="40" w:after="40" w:line="276" w:lineRule="auto"/>
            </w:pPr>
            <w:r>
              <w:rPr>
                <w:rFonts w:ascii="Calibri" w:hAnsi="Calibri"/>
                <w:color w:val="2C3444"/>
                <w:sz w:val="17"/>
              </w:rPr>
              <w:t>Transaction Fee</w:t>
            </w:r>
          </w:p>
        </w:tc>
        <w:tc>
          <w:tcPr>
            <w:tcW w:type="dxa" w:w="2304"/>
            <w:shd w:fill="FFFFFF"/>
          </w:tcPr>
          <w:p>
            <w:pPr>
              <w:spacing w:before="40" w:after="40" w:line="276" w:lineRule="auto"/>
            </w:pPr>
            <w:r>
              <w:rPr>
                <w:rFonts w:ascii="Calibri" w:hAnsi="Calibri"/>
                <w:color w:val="2C3444"/>
                <w:sz w:val="17"/>
              </w:rPr>
              <w:t>$2–$45 (variable)</w:t>
            </w:r>
          </w:p>
        </w:tc>
        <w:tc>
          <w:tcPr>
            <w:tcW w:type="dxa" w:w="2160"/>
            <w:shd w:fill="FFFFFF"/>
          </w:tcPr>
          <w:p>
            <w:pPr>
              <w:spacing w:before="40" w:after="40" w:line="276" w:lineRule="auto"/>
            </w:pPr>
            <w:r>
              <w:rPr>
                <w:rFonts w:ascii="Calibri" w:hAnsi="Calibri"/>
                <w:color w:val="2C3444"/>
                <w:sz w:val="17"/>
              </w:rPr>
              <w:t>$0.003 (variable)</w:t>
            </w:r>
          </w:p>
        </w:tc>
        <w:tc>
          <w:tcPr>
            <w:tcW w:type="dxa" w:w="2304"/>
            <w:shd w:fill="FFFFFF"/>
          </w:tcPr>
          <w:p>
            <w:pPr>
              <w:spacing w:before="40" w:after="40" w:line="276" w:lineRule="auto"/>
            </w:pPr>
            <w:r>
              <w:rPr>
                <w:rFonts w:ascii="Calibri" w:hAnsi="Calibri"/>
                <w:color w:val="2C3444"/>
                <w:sz w:val="17"/>
              </w:rPr>
              <w:t>$0.001 (fixed)</w:t>
            </w:r>
          </w:p>
        </w:tc>
      </w:tr>
      <w:tr>
        <w:tc>
          <w:tcPr>
            <w:tcW w:type="dxa" w:w="1872"/>
            <w:shd w:fill="F1F5F9"/>
          </w:tcPr>
          <w:p>
            <w:pPr>
              <w:spacing w:before="40" w:after="40" w:line="276" w:lineRule="auto"/>
            </w:pPr>
            <w:r>
              <w:rPr>
                <w:rFonts w:ascii="Calibri" w:hAnsi="Calibri"/>
                <w:color w:val="2C3444"/>
                <w:sz w:val="17"/>
              </w:rPr>
              <w:t>ZK Opcode</w:t>
            </w:r>
          </w:p>
        </w:tc>
        <w:tc>
          <w:tcPr>
            <w:tcW w:type="dxa" w:w="2304"/>
            <w:shd w:fill="F1F5F9"/>
          </w:tcPr>
          <w:p>
            <w:pPr>
              <w:spacing w:before="40" w:after="40" w:line="276" w:lineRule="auto"/>
            </w:pPr>
            <w:r>
              <w:rPr>
                <w:rFonts w:ascii="Calibri" w:hAnsi="Calibri"/>
                <w:color w:val="2C3444"/>
                <w:sz w:val="17"/>
              </w:rPr>
              <w:t>ecPairing ($100K+ gas)</w:t>
            </w:r>
          </w:p>
        </w:tc>
        <w:tc>
          <w:tcPr>
            <w:tcW w:type="dxa" w:w="2160"/>
            <w:shd w:fill="F1F5F9"/>
          </w:tcPr>
          <w:p>
            <w:pPr>
              <w:spacing w:before="40" w:after="40" w:line="276" w:lineRule="auto"/>
            </w:pPr>
            <w:r>
              <w:rPr>
                <w:rFonts w:ascii="Calibri" w:hAnsi="Calibri"/>
                <w:color w:val="2C3444"/>
                <w:sz w:val="17"/>
              </w:rPr>
              <w:t>Custom BPF</w:t>
            </w:r>
          </w:p>
        </w:tc>
        <w:tc>
          <w:tcPr>
            <w:tcW w:type="dxa" w:w="2304"/>
            <w:shd w:fill="F1F5F9"/>
          </w:tcPr>
          <w:p>
            <w:pPr>
              <w:spacing w:before="40" w:after="40" w:line="276" w:lineRule="auto"/>
            </w:pPr>
            <w:r>
              <w:rPr>
                <w:rFonts w:ascii="Calibri" w:hAnsi="Calibri"/>
                <w:color w:val="2C3444"/>
                <w:sz w:val="17"/>
              </w:rPr>
              <w:t>Native bn254_pairing</w:t>
            </w:r>
          </w:p>
        </w:tc>
      </w:tr>
      <w:tr>
        <w:tc>
          <w:tcPr>
            <w:tcW w:type="dxa" w:w="1872"/>
            <w:shd w:fill="FFFFFF"/>
          </w:tcPr>
          <w:p>
            <w:pPr>
              <w:spacing w:before="40" w:after="40" w:line="276" w:lineRule="auto"/>
            </w:pPr>
            <w:r>
              <w:rPr>
                <w:rFonts w:ascii="Calibri" w:hAnsi="Calibri"/>
                <w:color w:val="2C3444"/>
                <w:sz w:val="17"/>
              </w:rPr>
              <w:t>Storage</w:t>
            </w:r>
          </w:p>
        </w:tc>
        <w:tc>
          <w:tcPr>
            <w:tcW w:type="dxa" w:w="2304"/>
            <w:shd w:fill="FFFFFF"/>
          </w:tcPr>
          <w:p>
            <w:pPr>
              <w:spacing w:before="40" w:after="40" w:line="276" w:lineRule="auto"/>
            </w:pPr>
            <w:r>
              <w:rPr>
                <w:rFonts w:ascii="Calibri" w:hAnsi="Calibri"/>
                <w:color w:val="2C3444"/>
                <w:sz w:val="17"/>
              </w:rPr>
              <w:t>Contract slots (expensive)</w:t>
            </w:r>
          </w:p>
        </w:tc>
        <w:tc>
          <w:tcPr>
            <w:tcW w:type="dxa" w:w="2160"/>
            <w:shd w:fill="FFFFFF"/>
          </w:tcPr>
          <w:p>
            <w:pPr>
              <w:spacing w:before="40" w:after="40" w:line="276" w:lineRule="auto"/>
            </w:pPr>
            <w:r>
              <w:rPr>
                <w:rFonts w:ascii="Calibri" w:hAnsi="Calibri"/>
                <w:color w:val="2C3444"/>
                <w:sz w:val="17"/>
              </w:rPr>
              <w:t>Account rent</w:t>
            </w:r>
          </w:p>
        </w:tc>
        <w:tc>
          <w:tcPr>
            <w:tcW w:type="dxa" w:w="2304"/>
            <w:shd w:fill="FFFFFF"/>
          </w:tcPr>
          <w:p>
            <w:pPr>
              <w:spacing w:before="40" w:after="40" w:line="276" w:lineRule="auto"/>
            </w:pPr>
            <w:r>
              <w:rPr>
                <w:rFonts w:ascii="Calibri" w:hAnsi="Calibri"/>
                <w:color w:val="2C3444"/>
                <w:sz w:val="17"/>
              </w:rPr>
              <w:t>Box Storage (O(1) KV)</w:t>
            </w:r>
          </w:p>
        </w:tc>
      </w:tr>
      <w:tr>
        <w:tc>
          <w:tcPr>
            <w:tcW w:type="dxa" w:w="1872"/>
            <w:shd w:fill="F1F5F9"/>
          </w:tcPr>
          <w:p>
            <w:pPr>
              <w:spacing w:before="40" w:after="40" w:line="276" w:lineRule="auto"/>
            </w:pPr>
            <w:r>
              <w:rPr>
                <w:rFonts w:ascii="Calibri" w:hAnsi="Calibri"/>
                <w:color w:val="2C3444"/>
                <w:sz w:val="17"/>
              </w:rPr>
              <w:t>Fork Risk</w:t>
            </w:r>
          </w:p>
        </w:tc>
        <w:tc>
          <w:tcPr>
            <w:tcW w:type="dxa" w:w="2304"/>
            <w:shd w:fill="F1F5F9"/>
          </w:tcPr>
          <w:p>
            <w:pPr>
              <w:spacing w:before="40" w:after="40" w:line="276" w:lineRule="auto"/>
            </w:pPr>
            <w:r>
              <w:rPr>
                <w:rFonts w:ascii="Calibri" w:hAnsi="Calibri"/>
                <w:color w:val="2C3444"/>
                <w:sz w:val="17"/>
              </w:rPr>
              <w:t>Possible (reorgs)</w:t>
            </w:r>
          </w:p>
        </w:tc>
        <w:tc>
          <w:tcPr>
            <w:tcW w:type="dxa" w:w="2160"/>
            <w:shd w:fill="F1F5F9"/>
          </w:tcPr>
          <w:p>
            <w:pPr>
              <w:spacing w:before="40" w:after="40" w:line="276" w:lineRule="auto"/>
            </w:pPr>
            <w:r>
              <w:rPr>
                <w:rFonts w:ascii="Calibri" w:hAnsi="Calibri"/>
                <w:color w:val="2C3444"/>
                <w:sz w:val="17"/>
              </w:rPr>
              <w:t>Possible</w:t>
            </w:r>
          </w:p>
        </w:tc>
        <w:tc>
          <w:tcPr>
            <w:tcW w:type="dxa" w:w="2304"/>
            <w:shd w:fill="F1F5F9"/>
          </w:tcPr>
          <w:p>
            <w:pPr>
              <w:spacing w:before="40" w:after="40" w:line="276" w:lineRule="auto"/>
            </w:pPr>
            <w:r>
              <w:rPr>
                <w:rFonts w:ascii="Calibri" w:hAnsi="Calibri"/>
                <w:color w:val="2C3444"/>
                <w:sz w:val="17"/>
              </w:rPr>
              <w:t>Zero (PPoS)</w:t>
            </w:r>
          </w:p>
        </w:tc>
      </w:tr>
    </w:tbl>
    <w:p>
      <w:pPr>
        <w:spacing w:before="0" w:after="40" w:line="276" w:lineRule="auto"/>
      </w:pPr>
    </w:p>
    <w:p>
      <w:pPr>
        <w:keepNext/>
        <w:spacing w:before="280" w:after="120"/>
      </w:pPr>
      <w:r>
        <w:rPr>
          <w:rFonts w:ascii="Calibri" w:hAnsi="Calibri"/>
          <w:b/>
          <w:color w:val="0F294F"/>
          <w:sz w:val="30"/>
        </w:rPr>
        <w:t>5. Technical Methodology</w:t>
      </w:r>
    </w:p>
    <w:p>
      <w:pPr>
        <w:spacing w:before="0" w:after="100" w:line="276" w:lineRule="auto"/>
      </w:pPr>
      <w:r>
        <w:rPr>
          <w:rFonts w:ascii="Calibri" w:hAnsi="Calibri"/>
          <w:color w:val="2C3444"/>
          <w:sz w:val="20"/>
        </w:rPr>
        <w:t>The ZERO-ID verification lifecycle proceeds through five discrete computational phases:</w:t>
      </w:r>
    </w:p>
    <w:p>
      <w:pPr>
        <w:keepNext/>
        <w:spacing w:before="280" w:after="120"/>
      </w:pPr>
      <w:r>
        <w:rPr>
          <w:rFonts w:ascii="Calibri" w:hAnsi="Calibri"/>
          <w:b/>
          <w:color w:val="1D6FA5"/>
          <w:sz w:val="25"/>
        </w:rPr>
        <w:t>Phase 1 — Secure Ingestion &amp; RSA-2048 Witness Validation</w:t>
      </w:r>
    </w:p>
    <w:p>
      <w:pPr>
        <w:spacing w:before="0" w:after="100" w:line="276" w:lineRule="auto"/>
      </w:pPr>
      <w:r>
        <w:rPr>
          <w:rFonts w:ascii="Calibri" w:hAnsi="Calibri"/>
          <w:color w:val="2C3444"/>
          <w:sz w:val="20"/>
        </w:rPr>
        <w:t>The citizen selects their UIDAI-issued digitally signed Offline e-KYC XML file. The browser edge environment ingests the file into volatile JavaScript TypedArrays. The client-side parser extracts the XML-DSig &lt;SignatureValue&gt; block and verifies the RSA-2048 SHA-256 signature against the UIDAI root certificate authority chain using PKCS#1 v1.5 verification: S^e = H(M) mod N. Upon successful validation, the parser extracts the raw birthYear integer into an ephemeral memory register. If the signature is invalid or the XML has been tampered with, execution terminates immediately.</w:t>
      </w:r>
    </w:p>
    <w:p>
      <w:pPr>
        <w:keepNext/>
        <w:spacing w:before="280" w:after="120"/>
      </w:pPr>
      <w:r>
        <w:rPr>
          <w:rFonts w:ascii="Calibri" w:hAnsi="Calibri"/>
          <w:b/>
          <w:color w:val="1D6FA5"/>
          <w:sz w:val="25"/>
        </w:rPr>
        <w:t>Phase 2 — Client-Side Constraint Proving (WebAssembly)</w:t>
      </w:r>
    </w:p>
    <w:p>
      <w:pPr>
        <w:spacing w:before="0" w:after="100" w:line="276" w:lineRule="auto"/>
      </w:pPr>
      <w:r>
        <w:rPr>
          <w:rFonts w:ascii="Calibri" w:hAnsi="Calibri"/>
          <w:color w:val="2C3444"/>
          <w:sz w:val="20"/>
        </w:rPr>
        <w:t>The extracted birthYear is supplied as a private witness signal into the compiled Circom 2.1.0 arithmetic circuit alongside public instance signals (currentYear = 2026, ageThreshold = 18). The snarkjs WASM runtime evaluates the Rank-1 Constraint System (R1CS), computing Groth16 proof points (A in G1, B in G2, C in G1) over the BN254 pairing-friendly elliptic curve. Concurrently, the engine computes a 32-byte deterministic NullifierHash = Poseidon(Aadhaar_Secret_Salt, UID_Hash). All raw XML buffers and witness registers are then cryptographically scrubbed from memory.</w:t>
      </w:r>
    </w:p>
    <w:p>
      <w:pPr>
        <w:keepNext/>
        <w:spacing w:before="280" w:after="120"/>
      </w:pPr>
      <w:r>
        <w:rPr>
          <w:rFonts w:ascii="Calibri" w:hAnsi="Calibri"/>
          <w:b/>
          <w:color w:val="1D6FA5"/>
          <w:sz w:val="25"/>
        </w:rPr>
        <w:t>Phase 3 — Hardware Enclave Biometric Binding</w:t>
      </w:r>
    </w:p>
    <w:p>
      <w:pPr>
        <w:spacing w:before="0" w:after="100" w:line="276" w:lineRule="auto"/>
      </w:pPr>
      <w:r>
        <w:rPr>
          <w:rFonts w:ascii="Calibri" w:hAnsi="Calibri"/>
          <w:color w:val="2C3444"/>
          <w:sz w:val="20"/>
        </w:rPr>
        <w:t>The client constructs a cryptographic hardware challenge: Challenge = SHA-256(Proof_A || Proof_B || Proof_C || NullifierHash || Timestamp || VerifierID). The browser invokes navigator.credentials.get() via the W3C WebAuthn API, prompting the user for local biometric authentication (Touch ID / Face ID / Windows Hello). The hardware secure enclave signs the challenge digest using its non-exportable ECDSA-P256 private key, producing an authenticated hardware assertion token. This is the core inventive step that prevents proof forwarding.</w:t>
      </w:r>
    </w:p>
    <w:p>
      <w:pPr>
        <w:keepNext/>
        <w:spacing w:before="280" w:after="120"/>
      </w:pPr>
      <w:r>
        <w:rPr>
          <w:rFonts w:ascii="Calibri" w:hAnsi="Calibri"/>
          <w:b/>
          <w:color w:val="1D6FA5"/>
          <w:sz w:val="25"/>
        </w:rPr>
        <w:t>Phase 4 — Presentation</w:t>
      </w:r>
    </w:p>
    <w:p>
      <w:pPr>
        <w:spacing w:before="0" w:after="100" w:line="276" w:lineRule="auto"/>
      </w:pPr>
      <w:r>
        <w:rPr>
          <w:rFonts w:ascii="Calibri" w:hAnsi="Calibri"/>
          <w:color w:val="2C3444"/>
          <w:sz w:val="20"/>
        </w:rPr>
        <w:t>The composite verification bundle—comprising the 128-byte Groth16 proof, public signals, Poseidon nullifier, WebAuthn hardware signature, and expiring nonce—is encoded into a high-density dynamic QR code or transmitted via HTTPS POST to the relying party's verification terminal.</w:t>
      </w:r>
    </w:p>
    <w:p>
      <w:pPr>
        <w:keepNext/>
        <w:spacing w:before="280" w:after="120"/>
      </w:pPr>
      <w:r>
        <w:rPr>
          <w:rFonts w:ascii="Calibri" w:hAnsi="Calibri"/>
          <w:b/>
          <w:color w:val="1D6FA5"/>
          <w:sz w:val="25"/>
        </w:rPr>
        <w:t>Phase 5 — On-Chain Verification &amp; O(1) Revocation Check</w:t>
      </w:r>
    </w:p>
    <w:p>
      <w:pPr>
        <w:spacing w:before="0" w:after="100" w:line="276" w:lineRule="auto"/>
      </w:pPr>
      <w:r>
        <w:rPr>
          <w:rFonts w:ascii="Calibri" w:hAnsi="Calibri"/>
          <w:color w:val="2C3444"/>
          <w:sz w:val="20"/>
        </w:rPr>
        <w:t>The verifier executes two independent validations: (1) Mathematical Proof Verification by invoking Algorand AVM App ID 761383580, which executes the bn254_pairing opcode to verify e(A, B) = e(alpha, beta) * e(L, gamma) * e(C, delta); and (2) Real-Time Revocation Check by querying App ID 761383581 for the Box keyed by NullifierHash—if the box contains 0x01 (REVOKED), access is denied; if it contains 0x00 or does not exist, access is granted. The verifier stores 0 bytes of customer PII.</w:t>
      </w:r>
    </w:p>
    <w:p>
      <w:r>
        <w:br w:type="page"/>
      </w:r>
    </w:p>
    <w:p>
      <w:pPr>
        <w:keepNext/>
        <w:spacing w:before="280" w:after="120"/>
      </w:pPr>
      <w:r>
        <w:rPr>
          <w:rFonts w:ascii="Calibri" w:hAnsi="Calibri"/>
          <w:b/>
          <w:color w:val="0F294F"/>
          <w:sz w:val="30"/>
        </w:rPr>
        <w:t>6. System Architecture and Design</w:t>
      </w:r>
    </w:p>
    <w:p>
      <w:pPr>
        <w:keepNext/>
        <w:spacing w:before="160" w:after="120"/>
      </w:pPr>
      <w:r>
        <w:rPr>
          <w:rFonts w:ascii="Calibri" w:hAnsi="Calibri"/>
          <w:b/>
          <w:color w:val="1D6FA5"/>
          <w:sz w:val="25"/>
        </w:rPr>
        <w:t>Figure 1 — End-to-End System Architecture</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18" w:color="1D6FA5"/>
              <w:top w:val="none"/>
              <w:right w:val="none"/>
              <w:bottom w:val="none"/>
            </w:tcBorders>
          </w:tcPr>
          <w:p>
            <w:pPr>
              <w:spacing w:before="60" w:after="60" w:line="252" w:lineRule="auto"/>
            </w:pPr>
            <w:r>
              <w:rPr>
                <w:rFonts w:ascii="Consolas" w:hAnsi="Consolas"/>
                <w:color w:val="2C3444"/>
                <w:sz w:val="16"/>
              </w:rPr>
              <w:t>+===================================================================================+</w:t>
              <w:br/>
              <w:t>|                        ZERO-ID SYSTEM ARCHITECTURE                                |</w:t>
              <w:br/>
              <w:t>+===================================================================================+</w:t>
              <w:br/>
              <w:t>|  CLIENT TIER  (Edge Browser — All Computation Local)                              |</w:t>
              <w:br/>
              <w:t>|  +----------------------+  +----------------------+  +------------------------+   |</w:t>
              <w:br/>
              <w:t>|  | 1. UIDAI XML Ingest  |-&gt;| 2. Circom WASM       |-&gt;| 3. Hardware Enclave    |   |</w:t>
              <w:br/>
              <w:t>|  |    RSA-2048 Verify   |  |    Groth16 Prover     |  |    FIDO2 / WebAuthn    |   |</w:t>
              <w:br/>
              <w:t>|  |    [Volatile Memory] |  |    [BN254 Curve]      |  |    [ECDSA-P256 Sign]   |   |</w:t>
              <w:br/>
              <w:t>|  +----------------------+  +----------------------+  +------------------------+   |</w:t>
              <w:br/>
              <w:t>+======================================+============================================+</w:t>
              <w:br/>
              <w:t>|          Presentation Layer          |     0 Bytes PII Cross Network Boundary     |</w:t>
              <w:br/>
              <w:t>|   Dynamic QR Code / HTTPS Webhook    |     128B Proof + 32B Nullifier + Sig       |</w:t>
              <w:br/>
              <w:t>+======================================+============================================+</w:t>
              <w:br/>
              <w:t>|  VERIFIER TIER  (Relying Party Terminal)                                          |</w:t>
              <w:br/>
              <w:t>|  +-----------------------------------------------------------------------------+  |</w:t>
              <w:br/>
              <w:t>|  |  Parses Bundle: { Groth16 Proof (128B), Nullifier (32B), WebAuthn Sig }     |  |</w:t>
              <w:br/>
              <w:t>|  +-----------------------------+--------------------------+--------------------+  |</w:t>
              <w:br/>
              <w:t>+================================|==========================|=======================+</w:t>
              <w:br/>
              <w:t>|                                |                          |                       |</w:t>
              <w:br/>
              <w:t>|                                v                          v                       |</w:t>
              <w:br/>
              <w:t>|  +------------------------------------+  +--------------------------------------+ |</w:t>
              <w:br/>
              <w:t>|  |  AVM CONTRACT 1: Proof Verifier   |  |  AVM CONTRACT 2: Revocation Index   | |</w:t>
              <w:br/>
              <w:t>|  |  App ID: 761383580                |  |  App ID: 761383581                  | |</w:t>
              <w:br/>
              <w:t>|  |  Opcode: bn254_pairing            |  |  O(1) Key-Value Box Storage         | |</w:t>
              <w:br/>
              <w:t>|  |  Output: Math Validity (T/F)      |  |  Latency: 3.80s Global Finality     | |</w:t>
              <w:br/>
              <w:t>|  +------------------------------------+  +--------------------------------------+ |</w:t>
              <w:br/>
              <w:t>+===================================================================================+</w:t>
            </w:r>
          </w:p>
        </w:tc>
      </w:tr>
    </w:tbl>
    <w:p>
      <w:pPr>
        <w:spacing w:before="0" w:after="60" w:line="276" w:lineRule="auto"/>
      </w:pPr>
    </w:p>
    <w:p>
      <w:pPr>
        <w:spacing w:before="0" w:after="100" w:line="276" w:lineRule="auto"/>
      </w:pPr>
      <w:r>
        <w:rPr>
          <w:rFonts w:ascii="Calibri" w:hAnsi="Calibri"/>
          <w:i/>
          <w:color w:val="2C3444"/>
          <w:sz w:val="18"/>
        </w:rPr>
        <w:t>Figure 1 illustrates the complete three-tier architecture: all identity proving occurs in the Client Tier (edge browser), the Presentation Layer transmits zero PII across the network boundary, and the Consensus Tier executes mathematical verification and revocation state queries on Algorand Layer-1.</w:t>
      </w:r>
    </w:p>
    <w:p>
      <w:r>
        <w:br w:type="page"/>
      </w:r>
    </w:p>
    <w:p>
      <w:pPr>
        <w:keepNext/>
        <w:spacing w:before="160" w:after="120"/>
      </w:pPr>
      <w:r>
        <w:rPr>
          <w:rFonts w:ascii="Calibri" w:hAnsi="Calibri"/>
          <w:b/>
          <w:color w:val="1D6FA5"/>
          <w:sz w:val="25"/>
        </w:rPr>
        <w:t>Figure 2 — Cryptographic Protocol Sequence Diagram</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18" w:color="1D6FA5"/>
              <w:top w:val="none"/>
              <w:right w:val="none"/>
              <w:bottom w:val="none"/>
            </w:tcBorders>
          </w:tcPr>
          <w:p>
            <w:pPr>
              <w:spacing w:before="60" w:after="60" w:line="252" w:lineRule="auto"/>
            </w:pPr>
            <w:r>
              <w:rPr>
                <w:rFonts w:ascii="Consolas" w:hAnsi="Consolas"/>
                <w:color w:val="2C3444"/>
                <w:sz w:val="16"/>
              </w:rPr>
              <w:t>Citizen Client            WASM Engine          Secure Enclave        Verifier Terminal       Algorand L1</w:t>
              <w:br/>
              <w:t xml:space="preserve">     |                         |                      |                      |                     |</w:t>
              <w:br/>
              <w:t xml:space="preserve">     |-- 1. Load Aadhaar XML -&gt;|                      |                      |                     |</w:t>
              <w:br/>
              <w:t xml:space="preserve">     |   (RSA-2048 Sig Check)  |                      |                      |                     |</w:t>
              <w:br/>
              <w:t xml:space="preserve">     |                         |-- 2. Compute -------&gt;|                      |                     |</w:t>
              <w:br/>
              <w:t xml:space="preserve">     |                         |   Groth16 Proof(128B)|                      |                     |</w:t>
              <w:br/>
              <w:t xml:space="preserve">     |                         |   Poseidon Nullifier |                      |                     |</w:t>
              <w:br/>
              <w:t xml:space="preserve">     |                         |                      |                      |                     |</w:t>
              <w:br/>
              <w:t xml:space="preserve">     |                         |-- 3. Challenge -----&gt;|                      |                     |</w:t>
              <w:br/>
              <w:t xml:space="preserve">     |                         |   SHA-256(Proof||Null|                      |                     |</w:t>
              <w:br/>
              <w:t xml:space="preserve">     |                         |                      |-- 4. Biometric Touch |                     |</w:t>
              <w:br/>
              <w:t xml:space="preserve">     |                         |                      |   Touch/Face/Hello   |                     |</w:t>
              <w:br/>
              <w:t xml:space="preserve">     |                         |                      |&lt;- 5. ECDSA-P256 Sig -|                     |</w:t>
              <w:br/>
              <w:t xml:space="preserve">     |                         |                      |                      |                     |</w:t>
              <w:br/>
              <w:t xml:space="preserve">     |&lt;- 6. Composite Bundle --|----------------------|                      |                     |</w:t>
              <w:br/>
              <w:t xml:space="preserve">     |   {Proof, Null, Sig}    |                      |                      |                     |</w:t>
              <w:br/>
              <w:t xml:space="preserve">     |                                                                       |                     |</w:t>
              <w:br/>
              <w:t xml:space="preserve">     |-- 7. Present QR / POST ----------------------------------------------&gt;|                     |</w:t>
              <w:br/>
              <w:t xml:space="preserve">     |                                                                       |-- 8. bn254_pairing-&gt;|</w:t>
              <w:br/>
              <w:t xml:space="preserve">     |                                                                       |-- 9. Box Lookup ---&gt;|</w:t>
              <w:br/>
              <w:t xml:space="preserve">     |                                                                       |&lt;- 10. Valid/Revoked-|</w:t>
              <w:br/>
              <w:t xml:space="preserve">     |&lt;- 11. ACCESS GRANTED (0 Bytes PII Stored) ----------------------------|                     |</w:t>
            </w:r>
          </w:p>
        </w:tc>
      </w:tr>
    </w:tbl>
    <w:p>
      <w:pPr>
        <w:spacing w:before="0" w:after="60" w:line="276" w:lineRule="auto"/>
      </w:pPr>
    </w:p>
    <w:p>
      <w:pPr>
        <w:spacing w:before="0" w:after="100" w:line="276" w:lineRule="auto"/>
      </w:pPr>
      <w:r>
        <w:rPr>
          <w:rFonts w:ascii="Calibri" w:hAnsi="Calibri"/>
          <w:i/>
          <w:color w:val="2C3444"/>
          <w:sz w:val="18"/>
        </w:rPr>
        <w:t>Figure 2 illustrates the step-by-step cryptographic protocol exchange. Note that raw PII never leaves the Client at any point in the sequence; only mathematical attestation tokens cross the network boundary.</w:t>
      </w:r>
    </w:p>
    <w:p>
      <w:r>
        <w:br w:type="page"/>
      </w:r>
    </w:p>
    <w:p>
      <w:pPr>
        <w:keepNext/>
        <w:spacing w:before="280" w:after="120"/>
      </w:pPr>
      <w:r>
        <w:rPr>
          <w:rFonts w:ascii="Calibri" w:hAnsi="Calibri"/>
          <w:b/>
          <w:color w:val="0F294F"/>
          <w:sz w:val="30"/>
        </w:rPr>
        <w:t>7. Software, Technologies and Implementation</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3120"/>
            <w:shd w:fill="0F294F"/>
          </w:tcPr>
          <w:p>
            <w:pPr>
              <w:spacing w:before="60" w:after="60" w:line="276" w:lineRule="auto"/>
            </w:pPr>
            <w:r>
              <w:rPr>
                <w:rFonts w:ascii="Calibri" w:hAnsi="Calibri"/>
                <w:b/>
                <w:color w:val="FFFFFF"/>
                <w:sz w:val="17"/>
              </w:rPr>
              <w:t>Layer</w:t>
            </w:r>
          </w:p>
        </w:tc>
        <w:tc>
          <w:tcPr>
            <w:tcW w:type="dxa" w:w="3120"/>
            <w:shd w:fill="0F294F"/>
          </w:tcPr>
          <w:p>
            <w:pPr>
              <w:spacing w:before="60" w:after="60" w:line="276" w:lineRule="auto"/>
            </w:pPr>
            <w:r>
              <w:rPr>
                <w:rFonts w:ascii="Calibri" w:hAnsi="Calibri"/>
                <w:b/>
                <w:color w:val="FFFFFF"/>
                <w:sz w:val="17"/>
              </w:rPr>
              <w:t>Technology</w:t>
            </w:r>
          </w:p>
        </w:tc>
        <w:tc>
          <w:tcPr>
            <w:tcW w:type="dxa" w:w="3120"/>
            <w:shd w:fill="0F294F"/>
          </w:tcPr>
          <w:p>
            <w:pPr>
              <w:spacing w:before="60" w:after="60" w:line="276" w:lineRule="auto"/>
            </w:pPr>
            <w:r>
              <w:rPr>
                <w:rFonts w:ascii="Calibri" w:hAnsi="Calibri"/>
                <w:b/>
                <w:color w:val="FFFFFF"/>
                <w:sz w:val="17"/>
              </w:rPr>
              <w:t>Role &amp; Selection Rationale</w:t>
            </w:r>
          </w:p>
        </w:tc>
      </w:tr>
      <w:tr>
        <w:tc>
          <w:tcPr>
            <w:tcW w:type="dxa" w:w="1728"/>
            <w:shd w:fill="F1F5F9"/>
          </w:tcPr>
          <w:p>
            <w:pPr>
              <w:spacing w:before="40" w:after="40" w:line="276" w:lineRule="auto"/>
            </w:pPr>
            <w:r>
              <w:rPr>
                <w:rFonts w:ascii="Calibri" w:hAnsi="Calibri"/>
                <w:color w:val="2C3444"/>
                <w:sz w:val="17"/>
              </w:rPr>
              <w:t>ZK Circuit</w:t>
            </w:r>
          </w:p>
        </w:tc>
        <w:tc>
          <w:tcPr>
            <w:tcW w:type="dxa" w:w="2016"/>
            <w:shd w:fill="F1F5F9"/>
          </w:tcPr>
          <w:p>
            <w:pPr>
              <w:spacing w:before="40" w:after="40" w:line="276" w:lineRule="auto"/>
            </w:pPr>
            <w:r>
              <w:rPr>
                <w:rFonts w:ascii="Calibri" w:hAnsi="Calibri"/>
                <w:color w:val="2C3444"/>
                <w:sz w:val="17"/>
              </w:rPr>
              <w:t>Circom 2.1.0</w:t>
            </w:r>
          </w:p>
        </w:tc>
        <w:tc>
          <w:tcPr>
            <w:tcW w:type="dxa" w:w="5616"/>
            <w:shd w:fill="F1F5F9"/>
          </w:tcPr>
          <w:p>
            <w:pPr>
              <w:spacing w:before="40" w:after="40" w:line="276" w:lineRule="auto"/>
            </w:pPr>
            <w:r>
              <w:rPr>
                <w:rFonts w:ascii="Calibri" w:hAnsi="Calibri"/>
                <w:color w:val="2C3444"/>
                <w:sz w:val="17"/>
              </w:rPr>
              <w:t>Domain-specific language for R1CS constraint compilation over BN254.</w:t>
              <w:br/>
              <w:t>Selected for native snarkjs integration and wide community audit.</w:t>
            </w:r>
          </w:p>
        </w:tc>
      </w:tr>
      <w:tr>
        <w:tc>
          <w:tcPr>
            <w:tcW w:type="dxa" w:w="1728"/>
            <w:shd w:fill="FFFFFF"/>
          </w:tcPr>
          <w:p>
            <w:pPr>
              <w:spacing w:before="40" w:after="40" w:line="276" w:lineRule="auto"/>
            </w:pPr>
            <w:r>
              <w:rPr>
                <w:rFonts w:ascii="Calibri" w:hAnsi="Calibri"/>
                <w:color w:val="2C3444"/>
                <w:sz w:val="17"/>
              </w:rPr>
              <w:t>Prover Runtime</w:t>
            </w:r>
          </w:p>
        </w:tc>
        <w:tc>
          <w:tcPr>
            <w:tcW w:type="dxa" w:w="2016"/>
            <w:shd w:fill="FFFFFF"/>
          </w:tcPr>
          <w:p>
            <w:pPr>
              <w:spacing w:before="40" w:after="40" w:line="276" w:lineRule="auto"/>
            </w:pPr>
            <w:r>
              <w:rPr>
                <w:rFonts w:ascii="Calibri" w:hAnsi="Calibri"/>
                <w:color w:val="2C3444"/>
                <w:sz w:val="17"/>
              </w:rPr>
              <w:t>snarkjs (WASM)</w:t>
            </w:r>
          </w:p>
        </w:tc>
        <w:tc>
          <w:tcPr>
            <w:tcW w:type="dxa" w:w="5616"/>
            <w:shd w:fill="FFFFFF"/>
          </w:tcPr>
          <w:p>
            <w:pPr>
              <w:spacing w:before="40" w:after="40" w:line="276" w:lineRule="auto"/>
            </w:pPr>
            <w:r>
              <w:rPr>
                <w:rFonts w:ascii="Calibri" w:hAnsi="Calibri"/>
                <w:color w:val="2C3444"/>
                <w:sz w:val="17"/>
              </w:rPr>
              <w:t>Groth16 witness generation and proving in browser.</w:t>
              <w:br/>
              <w:t>Selected for &lt;1.5s mobile prover time without server dependency.</w:t>
            </w:r>
          </w:p>
        </w:tc>
      </w:tr>
      <w:tr>
        <w:tc>
          <w:tcPr>
            <w:tcW w:type="dxa" w:w="1728"/>
            <w:shd w:fill="F1F5F9"/>
          </w:tcPr>
          <w:p>
            <w:pPr>
              <w:spacing w:before="40" w:after="40" w:line="276" w:lineRule="auto"/>
            </w:pPr>
            <w:r>
              <w:rPr>
                <w:rFonts w:ascii="Calibri" w:hAnsi="Calibri"/>
                <w:color w:val="2C3444"/>
                <w:sz w:val="17"/>
              </w:rPr>
              <w:t>Hardware Binding</w:t>
            </w:r>
          </w:p>
        </w:tc>
        <w:tc>
          <w:tcPr>
            <w:tcW w:type="dxa" w:w="2016"/>
            <w:shd w:fill="F1F5F9"/>
          </w:tcPr>
          <w:p>
            <w:pPr>
              <w:spacing w:before="40" w:after="40" w:line="276" w:lineRule="auto"/>
            </w:pPr>
            <w:r>
              <w:rPr>
                <w:rFonts w:ascii="Calibri" w:hAnsi="Calibri"/>
                <w:color w:val="2C3444"/>
                <w:sz w:val="17"/>
              </w:rPr>
              <w:t>W3C WebAuthn</w:t>
              <w:br/>
              <w:t>/ FIDO2</w:t>
            </w:r>
          </w:p>
        </w:tc>
        <w:tc>
          <w:tcPr>
            <w:tcW w:type="dxa" w:w="5616"/>
            <w:shd w:fill="F1F5F9"/>
          </w:tcPr>
          <w:p>
            <w:pPr>
              <w:spacing w:before="40" w:after="40" w:line="276" w:lineRule="auto"/>
            </w:pPr>
            <w:r>
              <w:rPr>
                <w:rFonts w:ascii="Calibri" w:hAnsi="Calibri"/>
                <w:color w:val="2C3444"/>
                <w:sz w:val="17"/>
              </w:rPr>
              <w:t>Interfaces with Apple Secure Enclave, Android Titan M2, Windows TPM.</w:t>
              <w:br/>
              <w:t>Selected as the only W3C standard for cross-platform hardware key mgmt.</w:t>
            </w:r>
          </w:p>
        </w:tc>
      </w:tr>
      <w:tr>
        <w:tc>
          <w:tcPr>
            <w:tcW w:type="dxa" w:w="1728"/>
            <w:shd w:fill="FFFFFF"/>
          </w:tcPr>
          <w:p>
            <w:pPr>
              <w:spacing w:before="40" w:after="40" w:line="276" w:lineRule="auto"/>
            </w:pPr>
            <w:r>
              <w:rPr>
                <w:rFonts w:ascii="Calibri" w:hAnsi="Calibri"/>
                <w:color w:val="2C3444"/>
                <w:sz w:val="17"/>
              </w:rPr>
              <w:t>Blockchain</w:t>
            </w:r>
          </w:p>
        </w:tc>
        <w:tc>
          <w:tcPr>
            <w:tcW w:type="dxa" w:w="2016"/>
            <w:shd w:fill="FFFFFF"/>
          </w:tcPr>
          <w:p>
            <w:pPr>
              <w:spacing w:before="40" w:after="40" w:line="276" w:lineRule="auto"/>
            </w:pPr>
            <w:r>
              <w:rPr>
                <w:rFonts w:ascii="Calibri" w:hAnsi="Calibri"/>
                <w:color w:val="2C3444"/>
                <w:sz w:val="17"/>
              </w:rPr>
              <w:t>Algorand L1</w:t>
              <w:br/>
              <w:t>(AVM 10+)</w:t>
            </w:r>
          </w:p>
        </w:tc>
        <w:tc>
          <w:tcPr>
            <w:tcW w:type="dxa" w:w="5616"/>
            <w:shd w:fill="FFFFFF"/>
          </w:tcPr>
          <w:p>
            <w:pPr>
              <w:spacing w:before="40" w:after="40" w:line="276" w:lineRule="auto"/>
            </w:pPr>
            <w:r>
              <w:rPr>
                <w:rFonts w:ascii="Calibri" w:hAnsi="Calibri"/>
                <w:color w:val="2C3444"/>
                <w:sz w:val="17"/>
              </w:rPr>
              <w:t>Sub-4s deterministic finality, native bn254_pairing opcode, Box Storage.</w:t>
              <w:br/>
              <w:t>Selected for fixed fees and zero-fork consensus (PPoS).</w:t>
            </w:r>
          </w:p>
        </w:tc>
      </w:tr>
      <w:tr>
        <w:tc>
          <w:tcPr>
            <w:tcW w:type="dxa" w:w="1728"/>
            <w:shd w:fill="F1F5F9"/>
          </w:tcPr>
          <w:p>
            <w:pPr>
              <w:spacing w:before="40" w:after="40" w:line="276" w:lineRule="auto"/>
            </w:pPr>
            <w:r>
              <w:rPr>
                <w:rFonts w:ascii="Calibri" w:hAnsi="Calibri"/>
                <w:color w:val="2C3444"/>
                <w:sz w:val="17"/>
              </w:rPr>
              <w:t>Smart Contract</w:t>
            </w:r>
          </w:p>
        </w:tc>
        <w:tc>
          <w:tcPr>
            <w:tcW w:type="dxa" w:w="2016"/>
            <w:shd w:fill="F1F5F9"/>
          </w:tcPr>
          <w:p>
            <w:pPr>
              <w:spacing w:before="40" w:after="40" w:line="276" w:lineRule="auto"/>
            </w:pPr>
            <w:r>
              <w:rPr>
                <w:rFonts w:ascii="Calibri" w:hAnsi="Calibri"/>
                <w:color w:val="2C3444"/>
                <w:sz w:val="17"/>
              </w:rPr>
              <w:t>PyTeal / TEAL 10</w:t>
            </w:r>
          </w:p>
        </w:tc>
        <w:tc>
          <w:tcPr>
            <w:tcW w:type="dxa" w:w="5616"/>
            <w:shd w:fill="F1F5F9"/>
          </w:tcPr>
          <w:p>
            <w:pPr>
              <w:spacing w:before="40" w:after="40" w:line="276" w:lineRule="auto"/>
            </w:pPr>
            <w:r>
              <w:rPr>
                <w:rFonts w:ascii="Calibri" w:hAnsi="Calibri"/>
                <w:color w:val="2C3444"/>
                <w:sz w:val="17"/>
              </w:rPr>
              <w:t>High-efficiency AVM bytecode for pairing verification and Box indexing.</w:t>
            </w:r>
          </w:p>
        </w:tc>
      </w:tr>
      <w:tr>
        <w:tc>
          <w:tcPr>
            <w:tcW w:type="dxa" w:w="1728"/>
            <w:shd w:fill="FFFFFF"/>
          </w:tcPr>
          <w:p>
            <w:pPr>
              <w:spacing w:before="40" w:after="40" w:line="276" w:lineRule="auto"/>
            </w:pPr>
            <w:r>
              <w:rPr>
                <w:rFonts w:ascii="Calibri" w:hAnsi="Calibri"/>
                <w:color w:val="2C3444"/>
                <w:sz w:val="17"/>
              </w:rPr>
              <w:t>Frontend</w:t>
            </w:r>
          </w:p>
        </w:tc>
        <w:tc>
          <w:tcPr>
            <w:tcW w:type="dxa" w:w="2016"/>
            <w:shd w:fill="FFFFFF"/>
          </w:tcPr>
          <w:p>
            <w:pPr>
              <w:spacing w:before="40" w:after="40" w:line="276" w:lineRule="auto"/>
            </w:pPr>
            <w:r>
              <w:rPr>
                <w:rFonts w:ascii="Calibri" w:hAnsi="Calibri"/>
                <w:color w:val="2C3444"/>
                <w:sz w:val="17"/>
              </w:rPr>
              <w:t>React 18 / Vite</w:t>
            </w:r>
          </w:p>
        </w:tc>
        <w:tc>
          <w:tcPr>
            <w:tcW w:type="dxa" w:w="5616"/>
            <w:shd w:fill="FFFFFF"/>
          </w:tcPr>
          <w:p>
            <w:pPr>
              <w:spacing w:before="40" w:after="40" w:line="276" w:lineRule="auto"/>
            </w:pPr>
            <w:r>
              <w:rPr>
                <w:rFonts w:ascii="Calibri" w:hAnsi="Calibri"/>
                <w:color w:val="2C3444"/>
                <w:sz w:val="17"/>
              </w:rPr>
              <w:t>Responsive SPA with client-side QR rendering via qrcode.react.</w:t>
            </w:r>
          </w:p>
        </w:tc>
      </w:tr>
      <w:tr>
        <w:tc>
          <w:tcPr>
            <w:tcW w:type="dxa" w:w="1728"/>
            <w:shd w:fill="F1F5F9"/>
          </w:tcPr>
          <w:p>
            <w:pPr>
              <w:spacing w:before="40" w:after="40" w:line="276" w:lineRule="auto"/>
            </w:pPr>
            <w:r>
              <w:rPr>
                <w:rFonts w:ascii="Calibri" w:hAnsi="Calibri"/>
                <w:color w:val="2C3444"/>
                <w:sz w:val="17"/>
              </w:rPr>
              <w:t>Backend</w:t>
            </w:r>
          </w:p>
        </w:tc>
        <w:tc>
          <w:tcPr>
            <w:tcW w:type="dxa" w:w="2016"/>
            <w:shd w:fill="F1F5F9"/>
          </w:tcPr>
          <w:p>
            <w:pPr>
              <w:spacing w:before="40" w:after="40" w:line="276" w:lineRule="auto"/>
            </w:pPr>
            <w:r>
              <w:rPr>
                <w:rFonts w:ascii="Calibri" w:hAnsi="Calibri"/>
                <w:color w:val="2C3444"/>
                <w:sz w:val="17"/>
              </w:rPr>
              <w:t>Node.js / Express</w:t>
            </w:r>
          </w:p>
        </w:tc>
        <w:tc>
          <w:tcPr>
            <w:tcW w:type="dxa" w:w="5616"/>
            <w:shd w:fill="F1F5F9"/>
          </w:tcPr>
          <w:p>
            <w:pPr>
              <w:spacing w:before="40" w:after="40" w:line="276" w:lineRule="auto"/>
            </w:pPr>
            <w:r>
              <w:rPr>
                <w:rFonts w:ascii="Calibri" w:hAnsi="Calibri"/>
                <w:color w:val="2C3444"/>
                <w:sz w:val="17"/>
              </w:rPr>
              <w:t>REST API for challenge issuance and Algorand SDK integration.</w:t>
            </w:r>
          </w:p>
        </w:tc>
      </w:tr>
    </w:tbl>
    <w:p>
      <w:pPr>
        <w:spacing w:before="0" w:after="40" w:line="276" w:lineRule="auto"/>
      </w:pPr>
    </w:p>
    <w:p>
      <w:pPr>
        <w:keepNext/>
        <w:spacing w:before="280" w:after="120"/>
      </w:pPr>
      <w:r>
        <w:rPr>
          <w:rFonts w:ascii="Calibri" w:hAnsi="Calibri"/>
          <w:b/>
          <w:color w:val="0F294F"/>
          <w:sz w:val="30"/>
        </w:rPr>
        <w:t>8. Algorithms and Computational Methods</w:t>
      </w:r>
    </w:p>
    <w:p>
      <w:pPr>
        <w:keepNext/>
        <w:spacing w:before="280" w:after="120"/>
      </w:pPr>
      <w:r>
        <w:rPr>
          <w:rFonts w:ascii="Calibri" w:hAnsi="Calibri"/>
          <w:b/>
          <w:color w:val="1D6FA5"/>
          <w:sz w:val="25"/>
        </w:rPr>
        <w:t>8.1  Groth16 Bilinear Pairing Verification</w:t>
      </w:r>
    </w:p>
    <w:p>
      <w:pPr>
        <w:spacing w:before="0" w:after="100" w:line="276" w:lineRule="auto"/>
      </w:pPr>
      <w:r>
        <w:rPr>
          <w:rFonts w:ascii="Calibri" w:hAnsi="Calibri"/>
          <w:color w:val="2C3444"/>
          <w:sz w:val="20"/>
        </w:rPr>
        <w:t>The Algorand AVM smart contract verifies the proof pi = (A in G1, B in G2, C in G1) against the verification key (alpha, beta, gamma, delta, IC) using the bilinear pairing equation:</w:t>
      </w:r>
    </w:p>
    <w:p>
      <w:pPr>
        <w:spacing w:before="0" w:after="100" w:line="276" w:lineRule="auto"/>
      </w:pPr>
      <w:r>
        <w:rPr>
          <w:rFonts w:ascii="Calibri" w:hAnsi="Calibri"/>
          <w:i/>
          <w:color w:val="2C3444"/>
          <w:sz w:val="20"/>
        </w:rPr>
        <w:t>e(A, B) = e(alpha, beta) * e(IC_0 + Sum_{i=1}^l x_i IC_i, gamma) * e(C, delta)</w:t>
      </w:r>
    </w:p>
    <w:p>
      <w:pPr>
        <w:spacing w:before="0" w:after="100" w:line="276" w:lineRule="auto"/>
      </w:pPr>
      <w:r>
        <w:rPr>
          <w:rFonts w:ascii="Calibri" w:hAnsi="Calibri"/>
          <w:color w:val="2C3444"/>
          <w:sz w:val="20"/>
        </w:rPr>
        <w:t>This computation evaluates whether the quadratic arithmetic program (QAP) polynomials divide cleanly without exposing any private witness wire values. The pairing executes via Algorand's native bn254_pairing opcode in under 4 milliseconds.</w:t>
      </w:r>
    </w:p>
    <w:p>
      <w:pPr>
        <w:keepNext/>
        <w:spacing w:before="280" w:after="120"/>
      </w:pPr>
      <w:r>
        <w:rPr>
          <w:rFonts w:ascii="Calibri" w:hAnsi="Calibri"/>
          <w:b/>
          <w:color w:val="1D6FA5"/>
          <w:sz w:val="25"/>
        </w:rPr>
        <w:t>8.2  Age Validation Circuit (age_proof.circom)</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18" w:color="1D6FA5"/>
              <w:top w:val="none"/>
              <w:right w:val="none"/>
              <w:bottom w:val="none"/>
            </w:tcBorders>
          </w:tcPr>
          <w:p>
            <w:pPr>
              <w:spacing w:before="60" w:after="60" w:line="252" w:lineRule="auto"/>
            </w:pPr>
            <w:r>
              <w:rPr>
                <w:rFonts w:ascii="Consolas" w:hAnsi="Consolas"/>
                <w:color w:val="2C3444"/>
                <w:sz w:val="16"/>
              </w:rPr>
              <w:t>pragma circom 2.1.0;</w:t>
              <w:br/>
              <w:t>include "bitify.circom";</w:t>
              <w:br/>
              <w:t>include "comparators.circom";</w:t>
              <w:br/>
              <w:br/>
              <w:t>template AgeProof() {</w:t>
              <w:br/>
              <w:t xml:space="preserve">    signal input birthYear;           // Private witness (never leaves device)</w:t>
              <w:br/>
              <w:t xml:space="preserve">    signal input currentYear;         // Public instance</w:t>
              <w:br/>
              <w:t xml:space="preserve">    signal input ageThreshold;        // Public instance (e.g., 18)</w:t>
              <w:br/>
              <w:t xml:space="preserve">    signal output isOverAge;</w:t>
              <w:br/>
              <w:br/>
              <w:t xml:space="preserve">    signal calculatedAge;</w:t>
              <w:br/>
              <w:t xml:space="preserve">    calculatedAge &lt;-- currentYear - birthYear;</w:t>
              <w:br/>
              <w:br/>
              <w:t xml:space="preserve">    component num2bits = Num2Bits(7); // Range-check to [0, 127]</w:t>
              <w:br/>
              <w:t xml:space="preserve">    num2bits.in &lt;== calculatedAge;</w:t>
              <w:br/>
              <w:br/>
              <w:t xml:space="preserve">    component gte = GreaterEqThan(7);</w:t>
              <w:br/>
              <w:t xml:space="preserve">    gte.in[0] &lt;== calculatedAge;</w:t>
              <w:br/>
              <w:t xml:space="preserve">    gte.in[1] &lt;== ageThreshold;</w:t>
              <w:br/>
              <w:t xml:space="preserve">    isOverAge &lt;== gte.out;</w:t>
              <w:br/>
              <w:t xml:space="preserve">    isOverAge === 1;                  // Enforce truth constraint</w:t>
              <w:br/>
              <w:t>}</w:t>
              <w:br/>
              <w:t>component main {public [currentYear, ageThreshold]} = AgeProof();</w:t>
            </w:r>
          </w:p>
        </w:tc>
      </w:tr>
    </w:tbl>
    <w:p>
      <w:pPr>
        <w:spacing w:before="0" w:after="60" w:line="276" w:lineRule="auto"/>
      </w:pPr>
    </w:p>
    <w:p>
      <w:pPr>
        <w:keepNext/>
        <w:spacing w:before="280" w:after="120"/>
      </w:pPr>
      <w:r>
        <w:rPr>
          <w:rFonts w:ascii="Calibri" w:hAnsi="Calibri"/>
          <w:b/>
          <w:color w:val="1D6FA5"/>
          <w:sz w:val="25"/>
        </w:rPr>
        <w:t>8.3  Poseidon Nullifier Generation</w:t>
      </w:r>
    </w:p>
    <w:p>
      <w:pPr>
        <w:spacing w:before="0" w:after="100" w:line="276" w:lineRule="auto"/>
      </w:pPr>
      <w:r>
        <w:rPr>
          <w:rFonts w:ascii="Calibri" w:hAnsi="Calibri"/>
          <w:color w:val="2C3444"/>
          <w:sz w:val="20"/>
        </w:rPr>
        <w:t>NullifierHash = Poseidon(Aadhaar_Secret_Salt, SHA256(UID_Raw), RelyingParty_ID). Poseidon is selected because it requires only ~300 R1CS constraints per hash (vs. &gt;25,000 for SHA-256 in ZK circuits), making it optimal for in-circuit computation. The RelyingParty_ID scoping ensures cross-platform unlinkability: proofs generated for Bank A and Hotel B produce mathematically uncorrelated nullifiers.</w:t>
      </w:r>
    </w:p>
    <w:p>
      <w:pPr>
        <w:keepNext/>
        <w:spacing w:before="280" w:after="120"/>
      </w:pPr>
      <w:r>
        <w:rPr>
          <w:rFonts w:ascii="Calibri" w:hAnsi="Calibri"/>
          <w:b/>
          <w:color w:val="1D6FA5"/>
          <w:sz w:val="25"/>
        </w:rPr>
        <w:t>8.4  Hardware-Enclave Parameter Hash-Chaining (Core Inventive Step)</w:t>
      </w:r>
    </w:p>
    <w:p>
      <w:pPr>
        <w:spacing w:before="0" w:after="100" w:line="276" w:lineRule="auto"/>
      </w:pPr>
      <w:r>
        <w:rPr>
          <w:rFonts w:ascii="Calibri" w:hAnsi="Calibri"/>
          <w:color w:val="2C3444"/>
          <w:sz w:val="20"/>
        </w:rPr>
        <w:t>Challenge_HW = SHA-256(Proof_A_bytes || Proof_B_bytes || Proof_C_bytes || NullifierHash || Timestamp || Nonce). The hardware secure enclave signs Challenge_HW using its isolated ECDSA-P256 private key (secp256r1), producing signature sigma = (r, s). The relying party verifies both: (1) the Groth16 pairing equation validity, and (2) the ECDSA signature sigma over Challenge_HW—ensuring the proof was computed and authorized by a specific physical device with biometric confirmation.</w:t>
      </w:r>
    </w:p>
    <w:p>
      <w:pPr>
        <w:keepNext/>
        <w:spacing w:before="280" w:after="120"/>
      </w:pPr>
      <w:r>
        <w:rPr>
          <w:rFonts w:ascii="Calibri" w:hAnsi="Calibri"/>
          <w:b/>
          <w:color w:val="0F294F"/>
          <w:sz w:val="30"/>
        </w:rPr>
        <w:t>9. Database and Data Management</w:t>
      </w:r>
    </w:p>
    <w:p>
      <w:pPr>
        <w:spacing w:before="0" w:after="100" w:line="276" w:lineRule="auto"/>
      </w:pPr>
      <w:r>
        <w:rPr>
          <w:rFonts w:ascii="Calibri" w:hAnsi="Calibri"/>
          <w:color w:val="2C3444"/>
          <w:sz w:val="20"/>
        </w:rPr>
        <w:t>ZERO-ID fundamentally eliminates centralized databases from the identity verification pipeline. The only persistent state is the on-chain revocation index:</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Box Key (32 bytes): Binary encoding of the Poseidon NullifierHash.</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Box Value (1 byte): Revocation flag (0x00 = ACTIVE; 0x01 = REVOKED).</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Minimum Balance Requirement: 0.0025 ALGO + (0.0004 x 33 bytes) = 0.0157 ALGO (~$0.003 USD).</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Lookup Complexity: O(1) constant-time across all Algorand consensus nodes.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Client-Side Memory: All XML, RSA certs, and witness arrays are allocated in short-lived closures and overwritten with zero-buffers (crypto.getRandomValues()) before garbage collection.</w:t>
      </w:r>
    </w:p>
    <w:p>
      <w:pPr>
        <w:keepNext/>
        <w:spacing w:before="280" w:after="120"/>
      </w:pPr>
      <w:r>
        <w:rPr>
          <w:rFonts w:ascii="Calibri" w:hAnsi="Calibri"/>
          <w:b/>
          <w:color w:val="0F294F"/>
          <w:sz w:val="30"/>
        </w:rPr>
        <w:t>10. User Interface Design</w:t>
      </w:r>
    </w:p>
    <w:p>
      <w:pPr>
        <w:pStyle w:val="ListBullet"/>
        <w:spacing w:before="0" w:after="60" w:line="269" w:lineRule="auto"/>
      </w:pPr>
      <w:r>
        <w:rPr>
          <w:rFonts w:ascii="Calibri" w:hAnsi="Calibri"/>
          <w:b/>
          <w:color w:val="333E50"/>
          <w:sz w:val="20"/>
        </w:rPr>
        <w:t xml:space="preserve">Citizen Portal: </w:t>
      </w:r>
      <w:r>
        <w:rPr>
          <w:rFonts w:ascii="Calibri" w:hAnsi="Calibri"/>
          <w:color w:val="2C3444"/>
          <w:sz w:val="20"/>
        </w:rPr>
        <w:t>Drag-and-drop ingestion of password-protected Aadhaar Zip/XML files with real-time RSA signature status indicators and visual privacy assurances.</w:t>
      </w:r>
    </w:p>
    <w:p>
      <w:pPr>
        <w:pStyle w:val="ListBullet"/>
        <w:spacing w:before="0" w:after="60" w:line="269" w:lineRule="auto"/>
      </w:pPr>
      <w:r>
        <w:rPr>
          <w:rFonts w:ascii="Calibri" w:hAnsi="Calibri"/>
          <w:b/>
          <w:color w:val="333E50"/>
          <w:sz w:val="20"/>
        </w:rPr>
        <w:t xml:space="preserve">Predicate Selector: </w:t>
      </w:r>
      <w:r>
        <w:rPr>
          <w:rFonts w:ascii="Calibri" w:hAnsi="Calibri"/>
          <w:color w:val="2C3444"/>
          <w:sz w:val="20"/>
        </w:rPr>
        <w:t>Consent-controlled predicate selectors (Age &gt;= 18, State Residency, Taxpayer Status) with clear labels showing 0 bytes of PII will be transmitted.</w:t>
      </w:r>
    </w:p>
    <w:p>
      <w:pPr>
        <w:pStyle w:val="ListBullet"/>
        <w:spacing w:before="0" w:after="60" w:line="269" w:lineRule="auto"/>
      </w:pPr>
      <w:r>
        <w:rPr>
          <w:rFonts w:ascii="Calibri" w:hAnsi="Calibri"/>
          <w:b/>
          <w:color w:val="333E50"/>
          <w:sz w:val="20"/>
        </w:rPr>
        <w:t xml:space="preserve">Passkey Modal: </w:t>
      </w:r>
      <w:r>
        <w:rPr>
          <w:rFonts w:ascii="Calibri" w:hAnsi="Calibri"/>
          <w:color w:val="2C3444"/>
          <w:sz w:val="20"/>
        </w:rPr>
        <w:t>Native system biometric dialogs (Touch ID / Face ID / Windows Hello) for hardware enclave binding.</w:t>
      </w:r>
    </w:p>
    <w:p>
      <w:pPr>
        <w:pStyle w:val="ListBullet"/>
        <w:spacing w:before="0" w:after="60" w:line="269" w:lineRule="auto"/>
      </w:pPr>
      <w:r>
        <w:rPr>
          <w:rFonts w:ascii="Calibri" w:hAnsi="Calibri"/>
          <w:b/>
          <w:color w:val="333E50"/>
          <w:sz w:val="20"/>
        </w:rPr>
        <w:t xml:space="preserve">Proof Presenter: </w:t>
      </w:r>
      <w:r>
        <w:rPr>
          <w:rFonts w:ascii="Calibri" w:hAnsi="Calibri"/>
          <w:color w:val="2C3444"/>
          <w:sz w:val="20"/>
        </w:rPr>
        <w:t>High-contrast, animated QR code generator embedding the composite 128-byte proof bundle.</w:t>
      </w:r>
    </w:p>
    <w:p>
      <w:pPr>
        <w:pStyle w:val="ListBullet"/>
        <w:spacing w:before="0" w:after="60" w:line="269" w:lineRule="auto"/>
      </w:pPr>
      <w:r>
        <w:rPr>
          <w:rFonts w:ascii="Calibri" w:hAnsi="Calibri"/>
          <w:b/>
          <w:color w:val="333E50"/>
          <w:sz w:val="20"/>
        </w:rPr>
        <w:t xml:space="preserve">Verifier Terminal: </w:t>
      </w:r>
      <w:r>
        <w:rPr>
          <w:rFonts w:ascii="Calibri" w:hAnsi="Calibri"/>
          <w:color w:val="2C3444"/>
          <w:sz w:val="20"/>
        </w:rPr>
        <w:t>Live camera QR scanner with sub-second cryptographic verification dashboard showing: (1) Math proof validity, (2) Hardware enclave authenticity, (3) Real-time Algorand revocation state, and (4) Timestamp freshness.</w:t>
      </w:r>
    </w:p>
    <w:p>
      <w:pPr>
        <w:pStyle w:val="ListBullet"/>
        <w:spacing w:before="0" w:after="60" w:line="269" w:lineRule="auto"/>
      </w:pPr>
      <w:r>
        <w:rPr>
          <w:rFonts w:ascii="Calibri" w:hAnsi="Calibri"/>
          <w:b/>
          <w:color w:val="333E50"/>
          <w:sz w:val="20"/>
        </w:rPr>
        <w:t xml:space="preserve">Kill-Switch Dashboard: </w:t>
      </w:r>
      <w:r>
        <w:rPr>
          <w:rFonts w:ascii="Calibri" w:hAnsi="Calibri"/>
          <w:color w:val="2C3444"/>
          <w:sz w:val="20"/>
        </w:rPr>
        <w:t>One-click emergency revocation interface broadcasting instant Box Storage writes to Algorand Layer-1, invalidating all active QR tokens globally within 3.80 seconds.</w:t>
      </w:r>
    </w:p>
    <w:p>
      <w:pPr>
        <w:keepNext/>
        <w:spacing w:before="280" w:after="120"/>
      </w:pPr>
      <w:r>
        <w:rPr>
          <w:rFonts w:ascii="Calibri" w:hAnsi="Calibri"/>
          <w:b/>
          <w:color w:val="0F294F"/>
          <w:sz w:val="30"/>
        </w:rPr>
        <w:t>11. Implementation Modules</w:t>
      </w:r>
    </w:p>
    <w:p>
      <w:pPr>
        <w:keepNext/>
        <w:spacing w:before="280" w:after="120"/>
      </w:pPr>
      <w:r>
        <w:rPr>
          <w:rFonts w:ascii="Calibri" w:hAnsi="Calibri"/>
          <w:b/>
          <w:color w:val="333E50"/>
          <w:sz w:val="22"/>
        </w:rPr>
        <w:t>Module 1: Secure Ingestion &amp; Witness Extraction</w:t>
      </w:r>
    </w:p>
    <w:p>
      <w:pPr>
        <w:spacing w:before="0" w:after="100" w:line="276" w:lineRule="auto"/>
      </w:pPr>
      <w:r>
        <w:rPr>
          <w:rFonts w:ascii="Calibri" w:hAnsi="Calibri"/>
          <w:b/>
          <w:color w:val="333E50"/>
          <w:sz w:val="19"/>
        </w:rPr>
        <w:t xml:space="preserve">Environment: </w:t>
      </w:r>
      <w:r>
        <w:rPr>
          <w:rFonts w:ascii="Calibri" w:hAnsi="Calibri"/>
          <w:color w:val="2C3444"/>
          <w:sz w:val="19"/>
        </w:rPr>
        <w:t>Edge browser runtime (Web Crypto API)</w:t>
      </w:r>
    </w:p>
    <w:p>
      <w:pPr>
        <w:spacing w:before="0" w:after="100" w:line="276" w:lineRule="auto"/>
      </w:pPr>
      <w:r>
        <w:rPr>
          <w:rFonts w:ascii="Calibri" w:hAnsi="Calibri"/>
          <w:b/>
          <w:color w:val="333E50"/>
          <w:sz w:val="19"/>
        </w:rPr>
        <w:t xml:space="preserve">Function: </w:t>
      </w:r>
      <w:r>
        <w:rPr>
          <w:rFonts w:ascii="Calibri" w:hAnsi="Calibri"/>
          <w:color w:val="2C3444"/>
          <w:sz w:val="19"/>
        </w:rPr>
        <w:t>Verifies RSA-2048 XML-DSig against UIDAI root certs; extracts birthYear into volatile memory; purges XML buffers post-extraction.</w:t>
      </w:r>
    </w:p>
    <w:p>
      <w:pPr>
        <w:keepNext/>
        <w:spacing w:before="280" w:after="120"/>
      </w:pPr>
      <w:r>
        <w:rPr>
          <w:rFonts w:ascii="Calibri" w:hAnsi="Calibri"/>
          <w:b/>
          <w:color w:val="333E50"/>
          <w:sz w:val="22"/>
        </w:rPr>
        <w:t>Module 2: Client-Side Constraint Proving Engine</w:t>
      </w:r>
    </w:p>
    <w:p>
      <w:pPr>
        <w:spacing w:before="0" w:after="100" w:line="276" w:lineRule="auto"/>
      </w:pPr>
      <w:r>
        <w:rPr>
          <w:rFonts w:ascii="Calibri" w:hAnsi="Calibri"/>
          <w:b/>
          <w:color w:val="333E50"/>
          <w:sz w:val="19"/>
        </w:rPr>
        <w:t xml:space="preserve">Environment: </w:t>
      </w:r>
      <w:r>
        <w:rPr>
          <w:rFonts w:ascii="Calibri" w:hAnsi="Calibri"/>
          <w:color w:val="2C3444"/>
          <w:sz w:val="19"/>
        </w:rPr>
        <w:t>snarkjs / WebAssembly (Circom R1CS)</w:t>
      </w:r>
    </w:p>
    <w:p>
      <w:pPr>
        <w:spacing w:before="0" w:after="100" w:line="276" w:lineRule="auto"/>
      </w:pPr>
      <w:r>
        <w:rPr>
          <w:rFonts w:ascii="Calibri" w:hAnsi="Calibri"/>
          <w:b/>
          <w:color w:val="333E50"/>
          <w:sz w:val="19"/>
        </w:rPr>
        <w:t xml:space="preserve">Function: </w:t>
      </w:r>
      <w:r>
        <w:rPr>
          <w:rFonts w:ascii="Calibri" w:hAnsi="Calibri"/>
          <w:color w:val="2C3444"/>
          <w:sz w:val="19"/>
        </w:rPr>
        <w:t>Evaluates R1CS matrix; generates Groth16 proof points (A, B, C) over BN254; computes 32-byte Poseidon nullifier hash. Output: 128-byte proof + 32-byte nullifier.</w:t>
      </w:r>
    </w:p>
    <w:p>
      <w:pPr>
        <w:keepNext/>
        <w:spacing w:before="280" w:after="120"/>
      </w:pPr>
      <w:r>
        <w:rPr>
          <w:rFonts w:ascii="Calibri" w:hAnsi="Calibri"/>
          <w:b/>
          <w:color w:val="333E50"/>
          <w:sz w:val="22"/>
        </w:rPr>
        <w:t>Module 3: Hardware-Enclave Attestation</w:t>
      </w:r>
    </w:p>
    <w:p>
      <w:pPr>
        <w:spacing w:before="0" w:after="100" w:line="276" w:lineRule="auto"/>
      </w:pPr>
      <w:r>
        <w:rPr>
          <w:rFonts w:ascii="Calibri" w:hAnsi="Calibri"/>
          <w:b/>
          <w:color w:val="333E50"/>
          <w:sz w:val="19"/>
        </w:rPr>
        <w:t xml:space="preserve">Environment: </w:t>
      </w:r>
      <w:r>
        <w:rPr>
          <w:rFonts w:ascii="Calibri" w:hAnsi="Calibri"/>
          <w:color w:val="2C3444"/>
          <w:sz w:val="19"/>
        </w:rPr>
        <w:t>W3C WebAuthn / FIDO2 Platform Authenticator</w:t>
      </w:r>
    </w:p>
    <w:p>
      <w:pPr>
        <w:spacing w:before="0" w:after="100" w:line="276" w:lineRule="auto"/>
      </w:pPr>
      <w:r>
        <w:rPr>
          <w:rFonts w:ascii="Calibri" w:hAnsi="Calibri"/>
          <w:b/>
          <w:color w:val="333E50"/>
          <w:sz w:val="19"/>
        </w:rPr>
        <w:t xml:space="preserve">Function: </w:t>
      </w:r>
      <w:r>
        <w:rPr>
          <w:rFonts w:ascii="Calibri" w:hAnsi="Calibri"/>
          <w:color w:val="2C3444"/>
          <w:sz w:val="19"/>
        </w:rPr>
        <w:t>Constructs SHA-256 challenge from proof parameters; prompts biometric gate; signs challenge using isolated non-exportable ECDSA-P256 key.</w:t>
      </w:r>
    </w:p>
    <w:p>
      <w:pPr>
        <w:keepNext/>
        <w:spacing w:before="280" w:after="120"/>
      </w:pPr>
      <w:r>
        <w:rPr>
          <w:rFonts w:ascii="Calibri" w:hAnsi="Calibri"/>
          <w:b/>
          <w:color w:val="333E50"/>
          <w:sz w:val="22"/>
        </w:rPr>
        <w:t>Module 4: Decentralized Verification &amp; Revocation</w:t>
      </w:r>
    </w:p>
    <w:p>
      <w:pPr>
        <w:spacing w:before="0" w:after="100" w:line="276" w:lineRule="auto"/>
      </w:pPr>
      <w:r>
        <w:rPr>
          <w:rFonts w:ascii="Calibri" w:hAnsi="Calibri"/>
          <w:b/>
          <w:color w:val="333E50"/>
          <w:sz w:val="19"/>
        </w:rPr>
        <w:t xml:space="preserve">Environment: </w:t>
      </w:r>
      <w:r>
        <w:rPr>
          <w:rFonts w:ascii="Calibri" w:hAnsi="Calibri"/>
          <w:color w:val="2C3444"/>
          <w:sz w:val="19"/>
        </w:rPr>
        <w:t>Algorand AVM 10+ (App IDs 761383580 &amp; 761383581)</w:t>
      </w:r>
    </w:p>
    <w:p>
      <w:pPr>
        <w:spacing w:before="0" w:after="100" w:line="276" w:lineRule="auto"/>
      </w:pPr>
      <w:r>
        <w:rPr>
          <w:rFonts w:ascii="Calibri" w:hAnsi="Calibri"/>
          <w:b/>
          <w:color w:val="333E50"/>
          <w:sz w:val="19"/>
        </w:rPr>
        <w:t xml:space="preserve">Function: </w:t>
      </w:r>
      <w:r>
        <w:rPr>
          <w:rFonts w:ascii="Calibri" w:hAnsi="Calibri"/>
          <w:color w:val="2C3444"/>
          <w:sz w:val="19"/>
        </w:rPr>
        <w:t>Executes bn254_pairing opcode for proof verification; performs O(1) Box Storage lookup for real-time revocation status. Output: Boolean verdict with sub-4s finality.</w:t>
      </w:r>
    </w:p>
    <w:p>
      <w:r>
        <w:br w:type="page"/>
      </w:r>
    </w:p>
    <w:p>
      <w:pPr>
        <w:keepNext/>
        <w:spacing w:before="280" w:after="120"/>
      </w:pPr>
      <w:r>
        <w:rPr>
          <w:rFonts w:ascii="Calibri" w:hAnsi="Calibri"/>
          <w:b/>
          <w:color w:val="0F294F"/>
          <w:sz w:val="30"/>
        </w:rPr>
        <w:t>12. Testing, Validation and Empirical Results</w:t>
      </w:r>
    </w:p>
    <w:p>
      <w:pPr>
        <w:spacing w:before="0" w:after="100" w:line="276" w:lineRule="auto"/>
      </w:pPr>
      <w:r>
        <w:rPr>
          <w:rFonts w:ascii="Calibri" w:hAnsi="Calibri"/>
          <w:color w:val="2C3444"/>
          <w:sz w:val="20"/>
        </w:rPr>
        <w:t>To substantiate the concrete 'technical effects' required under Section 3(k) of the Indian Patents Act 1970 and the Ferid Allani precedent, ZERO-ID was evaluated through automated empirical benchmarking (patent_benchmarks.js) and adversarial security testing:</w:t>
      </w:r>
    </w:p>
    <w:p>
      <w:pPr>
        <w:keepNext/>
        <w:spacing w:before="280" w:after="120"/>
      </w:pPr>
      <w:r>
        <w:rPr>
          <w:rFonts w:ascii="Calibri" w:hAnsi="Calibri"/>
          <w:b/>
          <w:color w:val="1D6FA5"/>
          <w:sz w:val="25"/>
        </w:rPr>
        <w:t>Table 1 — Measured Technical Effects (Patent Evidence)</w:t>
      </w:r>
    </w:p>
    <w:tbl>
      <w:tblPr>
        <w:tblW w:type="auto" w:w="0"/>
        <w:jc w:val="center"/>
        <w:tblLayout w:type="fixed"/>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c>
          <w:tcPr>
            <w:tcW w:type="dxa" w:w="2340"/>
            <w:shd w:fill="0F294F"/>
          </w:tcPr>
          <w:p>
            <w:pPr>
              <w:spacing w:before="60" w:after="60" w:line="276" w:lineRule="auto"/>
            </w:pPr>
            <w:r>
              <w:rPr>
                <w:rFonts w:ascii="Calibri" w:hAnsi="Calibri"/>
                <w:b/>
                <w:color w:val="FFFFFF"/>
                <w:sz w:val="17"/>
              </w:rPr>
              <w:t>Technical Metric</w:t>
            </w:r>
          </w:p>
        </w:tc>
        <w:tc>
          <w:tcPr>
            <w:tcW w:type="dxa" w:w="2340"/>
            <w:shd w:fill="0F294F"/>
          </w:tcPr>
          <w:p>
            <w:pPr>
              <w:spacing w:before="60" w:after="60" w:line="276" w:lineRule="auto"/>
            </w:pPr>
            <w:r>
              <w:rPr>
                <w:rFonts w:ascii="Calibri" w:hAnsi="Calibri"/>
                <w:b/>
                <w:color w:val="FFFFFF"/>
                <w:sz w:val="17"/>
              </w:rPr>
              <w:t>Closest Prior Art</w:t>
            </w:r>
          </w:p>
        </w:tc>
        <w:tc>
          <w:tcPr>
            <w:tcW w:type="dxa" w:w="2340"/>
            <w:shd w:fill="0F294F"/>
          </w:tcPr>
          <w:p>
            <w:pPr>
              <w:spacing w:before="60" w:after="60" w:line="276" w:lineRule="auto"/>
            </w:pPr>
            <w:r>
              <w:rPr>
                <w:rFonts w:ascii="Calibri" w:hAnsi="Calibri"/>
                <w:b/>
                <w:color w:val="FFFFFF"/>
                <w:sz w:val="17"/>
              </w:rPr>
              <w:t>ZERO-ID (Measured)</w:t>
            </w:r>
          </w:p>
        </w:tc>
        <w:tc>
          <w:tcPr>
            <w:tcW w:type="dxa" w:w="2340"/>
            <w:shd w:fill="0F294F"/>
          </w:tcPr>
          <w:p>
            <w:pPr>
              <w:spacing w:before="60" w:after="60" w:line="276" w:lineRule="auto"/>
            </w:pPr>
            <w:r>
              <w:rPr>
                <w:rFonts w:ascii="Calibri" w:hAnsi="Calibri"/>
                <w:b/>
                <w:color w:val="FFFFFF"/>
                <w:sz w:val="17"/>
              </w:rPr>
              <w:t>Improvement</w:t>
            </w:r>
          </w:p>
        </w:tc>
      </w:tr>
      <w:tr>
        <w:tc>
          <w:tcPr>
            <w:tcW w:type="dxa" w:w="2160"/>
            <w:shd w:fill="F1F5F9"/>
          </w:tcPr>
          <w:p>
            <w:pPr>
              <w:spacing w:before="40" w:after="40" w:line="276" w:lineRule="auto"/>
            </w:pPr>
            <w:r>
              <w:rPr>
                <w:rFonts w:ascii="Calibri" w:hAnsi="Calibri"/>
                <w:color w:val="2C3444"/>
                <w:sz w:val="17"/>
              </w:rPr>
              <w:t>Revocation Lookup</w:t>
              <w:br/>
              <w:t>Complexity</w:t>
            </w:r>
          </w:p>
        </w:tc>
        <w:tc>
          <w:tcPr>
            <w:tcW w:type="dxa" w:w="2304"/>
            <w:shd w:fill="F1F5F9"/>
          </w:tcPr>
          <w:p>
            <w:pPr>
              <w:spacing w:before="40" w:after="40" w:line="276" w:lineRule="auto"/>
            </w:pPr>
            <w:r>
              <w:rPr>
                <w:rFonts w:ascii="Calibri" w:hAnsi="Calibri"/>
                <w:color w:val="2C3444"/>
                <w:sz w:val="17"/>
              </w:rPr>
              <w:t>O(log N) Merkle Tree</w:t>
              <w:br/>
              <w:t>(depth 20, 2^20 nodes)</w:t>
            </w:r>
          </w:p>
        </w:tc>
        <w:tc>
          <w:tcPr>
            <w:tcW w:type="dxa" w:w="2160"/>
            <w:shd w:fill="F1F5F9"/>
          </w:tcPr>
          <w:p>
            <w:pPr>
              <w:spacing w:before="40" w:after="40" w:line="276" w:lineRule="auto"/>
            </w:pPr>
            <w:r>
              <w:rPr>
                <w:rFonts w:ascii="Calibri" w:hAnsi="Calibri"/>
                <w:color w:val="2C3444"/>
                <w:sz w:val="17"/>
              </w:rPr>
              <w:t>O(1) Direct Box</w:t>
              <w:br/>
              <w:t>Storage Lookup</w:t>
            </w:r>
          </w:p>
        </w:tc>
        <w:tc>
          <w:tcPr>
            <w:tcW w:type="dxa" w:w="2736"/>
            <w:shd w:fill="F1F5F9"/>
          </w:tcPr>
          <w:p>
            <w:pPr>
              <w:spacing w:before="40" w:after="40" w:line="276" w:lineRule="auto"/>
            </w:pPr>
            <w:r>
              <w:rPr>
                <w:rFonts w:ascii="Calibri" w:hAnsi="Calibri"/>
                <w:color w:val="2C3444"/>
                <w:sz w:val="17"/>
              </w:rPr>
              <w:t>O(log N) -&gt; O(1)</w:t>
              <w:br/>
              <w:t>Complexity Class Reduction</w:t>
            </w:r>
          </w:p>
        </w:tc>
      </w:tr>
      <w:tr>
        <w:tc>
          <w:tcPr>
            <w:tcW w:type="dxa" w:w="2160"/>
            <w:shd w:fill="FFFFFF"/>
          </w:tcPr>
          <w:p>
            <w:pPr>
              <w:spacing w:before="40" w:after="40" w:line="276" w:lineRule="auto"/>
            </w:pPr>
            <w:r>
              <w:rPr>
                <w:rFonts w:ascii="Calibri" w:hAnsi="Calibri"/>
                <w:color w:val="2C3444"/>
                <w:sz w:val="17"/>
              </w:rPr>
              <w:t>Revocation Propagation</w:t>
              <w:br/>
              <w:t>Latency</w:t>
            </w:r>
          </w:p>
        </w:tc>
        <w:tc>
          <w:tcPr>
            <w:tcW w:type="dxa" w:w="2304"/>
            <w:shd w:fill="FFFFFF"/>
          </w:tcPr>
          <w:p>
            <w:pPr>
              <w:spacing w:before="40" w:after="40" w:line="276" w:lineRule="auto"/>
            </w:pPr>
            <w:r>
              <w:rPr>
                <w:rFonts w:ascii="Calibri" w:hAnsi="Calibri"/>
                <w:color w:val="2C3444"/>
                <w:sz w:val="17"/>
              </w:rPr>
              <w:t>~900–1800s (Ethereum L1)</w:t>
              <w:br/>
              <w:t>24–48h (Centralized CRLs)</w:t>
            </w:r>
          </w:p>
        </w:tc>
        <w:tc>
          <w:tcPr>
            <w:tcW w:type="dxa" w:w="2160"/>
            <w:shd w:fill="FFFFFF"/>
          </w:tcPr>
          <w:p>
            <w:pPr>
              <w:spacing w:before="40" w:after="40" w:line="276" w:lineRule="auto"/>
            </w:pPr>
            <w:r>
              <w:rPr>
                <w:rFonts w:ascii="Calibri" w:hAnsi="Calibri"/>
                <w:color w:val="2C3444"/>
                <w:sz w:val="17"/>
              </w:rPr>
              <w:t>3.80 Seconds</w:t>
              <w:br/>
              <w:t>(Algorand L1 Finality)</w:t>
            </w:r>
          </w:p>
        </w:tc>
        <w:tc>
          <w:tcPr>
            <w:tcW w:type="dxa" w:w="2736"/>
            <w:shd w:fill="FFFFFF"/>
          </w:tcPr>
          <w:p>
            <w:pPr>
              <w:spacing w:before="40" w:after="40" w:line="276" w:lineRule="auto"/>
            </w:pPr>
            <w:r>
              <w:rPr>
                <w:rFonts w:ascii="Calibri" w:hAnsi="Calibri"/>
                <w:color w:val="2C3444"/>
                <w:sz w:val="17"/>
              </w:rPr>
              <w:t>99.6% Reduction</w:t>
              <w:br/>
              <w:t>in Revocation Window</w:t>
            </w:r>
          </w:p>
        </w:tc>
      </w:tr>
      <w:tr>
        <w:tc>
          <w:tcPr>
            <w:tcW w:type="dxa" w:w="2160"/>
            <w:shd w:fill="F1F5F9"/>
          </w:tcPr>
          <w:p>
            <w:pPr>
              <w:spacing w:before="40" w:after="40" w:line="276" w:lineRule="auto"/>
            </w:pPr>
            <w:r>
              <w:rPr>
                <w:rFonts w:ascii="Calibri" w:hAnsi="Calibri"/>
                <w:color w:val="2C3444"/>
                <w:sz w:val="17"/>
              </w:rPr>
              <w:t>Proof Payload Size</w:t>
            </w:r>
          </w:p>
        </w:tc>
        <w:tc>
          <w:tcPr>
            <w:tcW w:type="dxa" w:w="2304"/>
            <w:shd w:fill="F1F5F9"/>
          </w:tcPr>
          <w:p>
            <w:pPr>
              <w:spacing w:before="40" w:after="40" w:line="276" w:lineRule="auto"/>
            </w:pPr>
            <w:r>
              <w:rPr>
                <w:rFonts w:ascii="Calibri" w:hAnsi="Calibri"/>
                <w:color w:val="2C3444"/>
                <w:sz w:val="17"/>
              </w:rPr>
              <w:t>40–100 KB</w:t>
              <w:br/>
              <w:t>(STARKs / PLONK)</w:t>
            </w:r>
          </w:p>
        </w:tc>
        <w:tc>
          <w:tcPr>
            <w:tcW w:type="dxa" w:w="2160"/>
            <w:shd w:fill="F1F5F9"/>
          </w:tcPr>
          <w:p>
            <w:pPr>
              <w:spacing w:before="40" w:after="40" w:line="276" w:lineRule="auto"/>
            </w:pPr>
            <w:r>
              <w:rPr>
                <w:rFonts w:ascii="Calibri" w:hAnsi="Calibri"/>
                <w:color w:val="2C3444"/>
                <w:sz w:val="17"/>
              </w:rPr>
              <w:t>128 Bytes</w:t>
              <w:br/>
              <w:t>(Groth16 on BN254)</w:t>
            </w:r>
          </w:p>
        </w:tc>
        <w:tc>
          <w:tcPr>
            <w:tcW w:type="dxa" w:w="2736"/>
            <w:shd w:fill="F1F5F9"/>
          </w:tcPr>
          <w:p>
            <w:pPr>
              <w:spacing w:before="40" w:after="40" w:line="276" w:lineRule="auto"/>
            </w:pPr>
            <w:r>
              <w:rPr>
                <w:rFonts w:ascii="Calibri" w:hAnsi="Calibri"/>
                <w:color w:val="2C3444"/>
                <w:sz w:val="17"/>
              </w:rPr>
              <w:t>99.8% Bandwidth</w:t>
              <w:br/>
              <w:t>Reduction (QR v4)</w:t>
            </w:r>
          </w:p>
        </w:tc>
      </w:tr>
      <w:tr>
        <w:tc>
          <w:tcPr>
            <w:tcW w:type="dxa" w:w="2160"/>
            <w:shd w:fill="FFFFFF"/>
          </w:tcPr>
          <w:p>
            <w:pPr>
              <w:spacing w:before="40" w:after="40" w:line="276" w:lineRule="auto"/>
            </w:pPr>
            <w:r>
              <w:rPr>
                <w:rFonts w:ascii="Calibri" w:hAnsi="Calibri"/>
                <w:color w:val="2C3444"/>
                <w:sz w:val="17"/>
              </w:rPr>
              <w:t>Verifier PII Storage</w:t>
            </w:r>
          </w:p>
        </w:tc>
        <w:tc>
          <w:tcPr>
            <w:tcW w:type="dxa" w:w="2304"/>
            <w:shd w:fill="FFFFFF"/>
          </w:tcPr>
          <w:p>
            <w:pPr>
              <w:spacing w:before="40" w:after="40" w:line="276" w:lineRule="auto"/>
            </w:pPr>
            <w:r>
              <w:rPr>
                <w:rFonts w:ascii="Calibri" w:hAnsi="Calibri"/>
                <w:color w:val="2C3444"/>
                <w:sz w:val="17"/>
              </w:rPr>
              <w:t>1,450 Bytes</w:t>
              <w:br/>
              <w:t>(Full Aadhaar XML)</w:t>
            </w:r>
          </w:p>
        </w:tc>
        <w:tc>
          <w:tcPr>
            <w:tcW w:type="dxa" w:w="2160"/>
            <w:shd w:fill="FFFFFF"/>
          </w:tcPr>
          <w:p>
            <w:pPr>
              <w:spacing w:before="40" w:after="40" w:line="276" w:lineRule="auto"/>
            </w:pPr>
            <w:r>
              <w:rPr>
                <w:rFonts w:ascii="Calibri" w:hAnsi="Calibri"/>
                <w:color w:val="2C3444"/>
                <w:sz w:val="17"/>
              </w:rPr>
              <w:t>0 Bytes</w:t>
              <w:br/>
              <w:t>(ZK Attestation Only)</w:t>
            </w:r>
          </w:p>
        </w:tc>
        <w:tc>
          <w:tcPr>
            <w:tcW w:type="dxa" w:w="2736"/>
            <w:shd w:fill="FFFFFF"/>
          </w:tcPr>
          <w:p>
            <w:pPr>
              <w:spacing w:before="40" w:after="40" w:line="276" w:lineRule="auto"/>
            </w:pPr>
            <w:r>
              <w:rPr>
                <w:rFonts w:ascii="Calibri" w:hAnsi="Calibri"/>
                <w:color w:val="2C3444"/>
                <w:sz w:val="17"/>
              </w:rPr>
              <w:t>100% Elimination</w:t>
              <w:br/>
              <w:t>of Breach Surface</w:t>
            </w:r>
          </w:p>
        </w:tc>
      </w:tr>
      <w:tr>
        <w:tc>
          <w:tcPr>
            <w:tcW w:type="dxa" w:w="2160"/>
            <w:shd w:fill="F1F5F9"/>
          </w:tcPr>
          <w:p>
            <w:pPr>
              <w:spacing w:before="40" w:after="40" w:line="276" w:lineRule="auto"/>
            </w:pPr>
            <w:r>
              <w:rPr>
                <w:rFonts w:ascii="Calibri" w:hAnsi="Calibri"/>
                <w:color w:val="2C3444"/>
                <w:sz w:val="17"/>
              </w:rPr>
              <w:t>Hardware Binding</w:t>
              <w:br/>
              <w:t>Overhead</w:t>
            </w:r>
          </w:p>
        </w:tc>
        <w:tc>
          <w:tcPr>
            <w:tcW w:type="dxa" w:w="2304"/>
            <w:shd w:fill="F1F5F9"/>
          </w:tcPr>
          <w:p>
            <w:pPr>
              <w:spacing w:before="40" w:after="40" w:line="276" w:lineRule="auto"/>
            </w:pPr>
            <w:r>
              <w:rPr>
                <w:rFonts w:ascii="Calibri" w:hAnsi="Calibri"/>
                <w:color w:val="2C3444"/>
                <w:sz w:val="17"/>
              </w:rPr>
              <w:t>N/A (No HW binding</w:t>
              <w:br/>
              <w:t>in prior ZK-KYC)</w:t>
            </w:r>
          </w:p>
        </w:tc>
        <w:tc>
          <w:tcPr>
            <w:tcW w:type="dxa" w:w="2160"/>
            <w:shd w:fill="F1F5F9"/>
          </w:tcPr>
          <w:p>
            <w:pPr>
              <w:spacing w:before="40" w:after="40" w:line="276" w:lineRule="auto"/>
            </w:pPr>
            <w:r>
              <w:rPr>
                <w:rFonts w:ascii="Calibri" w:hAnsi="Calibri"/>
                <w:color w:val="2C3444"/>
                <w:sz w:val="17"/>
              </w:rPr>
              <w:t>&lt;0.10 ms</w:t>
              <w:br/>
              <w:t>(SHA-256 Hash Chain)</w:t>
            </w:r>
          </w:p>
        </w:tc>
        <w:tc>
          <w:tcPr>
            <w:tcW w:type="dxa" w:w="2736"/>
            <w:shd w:fill="F1F5F9"/>
          </w:tcPr>
          <w:p>
            <w:pPr>
              <w:spacing w:before="40" w:after="40" w:line="276" w:lineRule="auto"/>
            </w:pPr>
            <w:r>
              <w:rPr>
                <w:rFonts w:ascii="Calibri" w:hAnsi="Calibri"/>
                <w:color w:val="2C3444"/>
                <w:sz w:val="17"/>
              </w:rPr>
              <w:t>Complete Sybil/Forwarding</w:t>
              <w:br/>
              <w:t>Elimination</w:t>
            </w:r>
          </w:p>
        </w:tc>
      </w:tr>
    </w:tbl>
    <w:p>
      <w:pPr>
        <w:spacing w:before="0" w:after="40" w:line="276" w:lineRule="auto"/>
      </w:pPr>
    </w:p>
    <w:p>
      <w:pPr>
        <w:keepNext/>
        <w:spacing w:before="280" w:after="120"/>
      </w:pPr>
      <w:r>
        <w:rPr>
          <w:rFonts w:ascii="Calibri" w:hAnsi="Calibri"/>
          <w:b/>
          <w:color w:val="1D6FA5"/>
          <w:sz w:val="25"/>
        </w:rPr>
        <w:t>Security &amp; Adversarial Testing Results</w:t>
      </w:r>
    </w:p>
    <w:p>
      <w:pPr>
        <w:pStyle w:val="ListBullet"/>
        <w:spacing w:before="0" w:after="60" w:line="269" w:lineRule="auto"/>
      </w:pPr>
      <w:r>
        <w:rPr>
          <w:rFonts w:ascii="Calibri" w:hAnsi="Calibri"/>
          <w:b/>
          <w:color w:val="333E50"/>
          <w:sz w:val="20"/>
        </w:rPr>
        <w:t xml:space="preserve">Tampered XML Injection: </w:t>
      </w:r>
      <w:r>
        <w:rPr>
          <w:rFonts w:ascii="Calibri" w:hAnsi="Calibri"/>
          <w:color w:val="2C3444"/>
          <w:sz w:val="20"/>
        </w:rPr>
        <w:t>In 100% of trials, injecting forged birth years into the XML caused RSA-2048 signature verification to fail, terminating execution before witness generation.</w:t>
      </w:r>
    </w:p>
    <w:p>
      <w:pPr>
        <w:pStyle w:val="ListBullet"/>
        <w:spacing w:before="0" w:after="60" w:line="269" w:lineRule="auto"/>
      </w:pPr>
      <w:r>
        <w:rPr>
          <w:rFonts w:ascii="Calibri" w:hAnsi="Calibri"/>
          <w:b/>
          <w:color w:val="333E50"/>
          <w:sz w:val="20"/>
        </w:rPr>
        <w:t xml:space="preserve">Proof Forwarding/Sybil Attack: </w:t>
      </w:r>
      <w:r>
        <w:rPr>
          <w:rFonts w:ascii="Calibri" w:hAnsi="Calibri"/>
          <w:color w:val="2C3444"/>
          <w:sz w:val="20"/>
        </w:rPr>
        <w:t>Presenting captured 128-byte proof JSON on a secondary device was rejected in 100% of trials due to missing or invalid ECDSA-P256 hardware enclave signatures.</w:t>
      </w:r>
    </w:p>
    <w:p>
      <w:pPr>
        <w:pStyle w:val="ListBullet"/>
        <w:spacing w:before="0" w:after="60" w:line="269" w:lineRule="auto"/>
      </w:pPr>
      <w:r>
        <w:rPr>
          <w:rFonts w:ascii="Calibri" w:hAnsi="Calibri"/>
          <w:b/>
          <w:color w:val="333E50"/>
          <w:sz w:val="20"/>
        </w:rPr>
        <w:t xml:space="preserve">On-Chain Revocation Propagation: </w:t>
      </w:r>
      <w:r>
        <w:rPr>
          <w:rFonts w:ascii="Calibri" w:hAnsi="Calibri"/>
          <w:color w:val="2C3444"/>
          <w:sz w:val="20"/>
        </w:rPr>
        <w:t>Once a revocation transaction is confirmed in block N, verifier queries in block N+1 correctly rejected the credential within 3.80 seconds in all trials.</w:t>
      </w:r>
    </w:p>
    <w:p>
      <w:pPr>
        <w:pStyle w:val="ListBullet"/>
        <w:spacing w:before="0" w:after="60" w:line="269" w:lineRule="auto"/>
      </w:pPr>
      <w:r>
        <w:rPr>
          <w:rFonts w:ascii="Calibri" w:hAnsi="Calibri"/>
          <w:b/>
          <w:color w:val="333E50"/>
          <w:sz w:val="20"/>
        </w:rPr>
        <w:t xml:space="preserve">Cross-Site Unlinkability: </w:t>
      </w:r>
      <w:r>
        <w:rPr>
          <w:rFonts w:ascii="Calibri" w:hAnsi="Calibri"/>
          <w:color w:val="2C3444"/>
          <w:sz w:val="20"/>
        </w:rPr>
        <w:t>Each proof generation produces statistically independent blinding factors (r, s in F_r), yielding zero mathematical correlation between proofs presented to different verifiers—confirmed by pairwise Pearson correlation tests.</w:t>
      </w:r>
    </w:p>
    <w:p>
      <w:pPr>
        <w:keepNext/>
        <w:spacing w:before="280" w:after="120"/>
      </w:pPr>
      <w:r>
        <w:rPr>
          <w:rFonts w:ascii="Calibri" w:hAnsi="Calibri"/>
          <w:b/>
          <w:color w:val="0F294F"/>
          <w:sz w:val="30"/>
        </w:rPr>
        <w:t>13. Findings and Analysis</w:t>
      </w:r>
    </w:p>
    <w:p>
      <w:pPr>
        <w:keepNext/>
        <w:spacing w:before="280" w:after="120"/>
      </w:pPr>
      <w:r>
        <w:rPr>
          <w:rFonts w:ascii="Calibri" w:hAnsi="Calibri"/>
          <w:b/>
          <w:color w:val="1D6FA5"/>
          <w:sz w:val="25"/>
        </w:rPr>
        <w:t>13.1  Regulatory Impact</w:t>
      </w:r>
    </w:p>
    <w:p>
      <w:pPr>
        <w:spacing w:before="0" w:after="100" w:line="276" w:lineRule="auto"/>
      </w:pPr>
      <w:r>
        <w:rPr>
          <w:rFonts w:ascii="Calibri" w:hAnsi="Calibri"/>
          <w:color w:val="2C3444"/>
          <w:sz w:val="20"/>
        </w:rPr>
        <w:t>ZERO-ID converts relying parties from high-risk 'Data Fiduciaries' storing massive PII databases into zero-liability 'Validation Consumers.' By retaining 0 bytes of personal data, organizations eliminate exposure to DPDP Act Section 33 penalties (up to INR 250 Crores) and achieve automatic compliance with the Supreme Court's Puttaswamy mandate prohibiting storage of unredacted Aadhaar numbers by private entities.</w:t>
      </w:r>
    </w:p>
    <w:p>
      <w:pPr>
        <w:keepNext/>
        <w:spacing w:before="280" w:after="120"/>
      </w:pPr>
      <w:r>
        <w:rPr>
          <w:rFonts w:ascii="Calibri" w:hAnsi="Calibri"/>
          <w:b/>
          <w:color w:val="1D6FA5"/>
          <w:sz w:val="25"/>
        </w:rPr>
        <w:t>13.2  Economic Feasibility</w:t>
      </w:r>
    </w:p>
    <w:p>
      <w:pPr>
        <w:spacing w:before="0" w:after="100" w:line="276" w:lineRule="auto"/>
      </w:pPr>
      <w:r>
        <w:rPr>
          <w:rFonts w:ascii="Calibri" w:hAnsi="Calibri"/>
          <w:color w:val="2C3444"/>
          <w:sz w:val="20"/>
        </w:rPr>
        <w:t>Algorand's fixed transaction fees ($0.001 per verification/revocation) reduce enterprise KYC costs by over 85% compared to commercial API aggregators charging INR 15–50 per KYC call. The Box Storage minimum balance requirement of 0.0157 ALGO (~$0.003) per credential makes nation-scale deployment (1.4 billion users) economically viable at approximately $4.2 million in total on-chain state costs.</w:t>
      </w:r>
    </w:p>
    <w:p>
      <w:pPr>
        <w:keepNext/>
        <w:spacing w:before="280" w:after="120"/>
      </w:pPr>
      <w:r>
        <w:rPr>
          <w:rFonts w:ascii="Calibri" w:hAnsi="Calibri"/>
          <w:b/>
          <w:color w:val="0F294F"/>
          <w:sz w:val="30"/>
        </w:rPr>
        <w:t>14. Limitations</w:t>
      </w:r>
    </w:p>
    <w:p>
      <w:pPr>
        <w:pStyle w:val="ListBullet"/>
        <w:spacing w:before="0" w:after="60" w:line="269" w:lineRule="auto"/>
      </w:pPr>
      <w:r>
        <w:rPr>
          <w:rFonts w:ascii="Calibri" w:hAnsi="Calibri"/>
          <w:b/>
          <w:color w:val="333E50"/>
          <w:sz w:val="20"/>
        </w:rPr>
        <w:t xml:space="preserve">Hardware Dependency: </w:t>
      </w:r>
      <w:r>
        <w:rPr>
          <w:rFonts w:ascii="Calibri" w:hAnsi="Calibri"/>
          <w:color w:val="2C3444"/>
          <w:sz w:val="20"/>
        </w:rPr>
        <w:t>The hardware binding mechanism requires devices with W3C WebAuthn support and hardware security enclaves (Secure Enclave, Titan M2, TPM 2.0). Legacy feature phones lacking biometric enclaves cannot use hardware-bound passkeys.</w:t>
      </w:r>
    </w:p>
    <w:p>
      <w:pPr>
        <w:pStyle w:val="ListBullet"/>
        <w:spacing w:before="0" w:after="60" w:line="269" w:lineRule="auto"/>
      </w:pPr>
      <w:r>
        <w:rPr>
          <w:rFonts w:ascii="Calibri" w:hAnsi="Calibri"/>
          <w:b/>
          <w:color w:val="333E50"/>
          <w:sz w:val="20"/>
        </w:rPr>
        <w:t xml:space="preserve">Prover Computation: </w:t>
      </w:r>
      <w:r>
        <w:rPr>
          <w:rFonts w:ascii="Calibri" w:hAnsi="Calibri"/>
          <w:color w:val="2C3444"/>
          <w:sz w:val="20"/>
        </w:rPr>
        <w:t>Generating Groth16 proofs in browser WASM consumes ~1.2–1.5 seconds of CPU time and ~40 MB RAM. Acceptable on modern smartphones but may cause brief UI hesitation on low-end devices.</w:t>
      </w:r>
    </w:p>
    <w:p>
      <w:pPr>
        <w:pStyle w:val="ListBullet"/>
        <w:spacing w:before="0" w:after="60" w:line="269" w:lineRule="auto"/>
      </w:pPr>
      <w:r>
        <w:rPr>
          <w:rFonts w:ascii="Calibri" w:hAnsi="Calibri"/>
          <w:b/>
          <w:color w:val="333E50"/>
          <w:sz w:val="20"/>
        </w:rPr>
        <w:t xml:space="preserve">Trusted Setup: </w:t>
      </w:r>
      <w:r>
        <w:rPr>
          <w:rFonts w:ascii="Calibri" w:hAnsi="Calibri"/>
          <w:color w:val="2C3444"/>
          <w:sz w:val="20"/>
        </w:rPr>
        <w:t>Groth16 requires a trusted setup ceremony. ZERO-ID uses the Hermez/Ethereum Foundation Perpetual Powers of Tau (&gt;1,000 participants). Under the 1-of-N honest participant model, this is cryptographically secure.</w:t>
      </w:r>
    </w:p>
    <w:p>
      <w:pPr>
        <w:pStyle w:val="ListBullet"/>
        <w:spacing w:before="0" w:after="60" w:line="269" w:lineRule="auto"/>
      </w:pPr>
      <w:r>
        <w:rPr>
          <w:rFonts w:ascii="Calibri" w:hAnsi="Calibri"/>
          <w:b/>
          <w:color w:val="333E50"/>
          <w:sz w:val="20"/>
        </w:rPr>
        <w:t xml:space="preserve">Issuer Signature Trust: </w:t>
      </w:r>
      <w:r>
        <w:rPr>
          <w:rFonts w:ascii="Calibri" w:hAnsi="Calibri"/>
          <w:color w:val="2C3444"/>
          <w:sz w:val="20"/>
        </w:rPr>
        <w:t>RSA-2048 signature verification is performed in client-side JavaScript before witness injection. Full in-circuit RSA verification would require ~1.2M constraints—reserved for future work.</w:t>
      </w:r>
    </w:p>
    <w:p>
      <w:pPr>
        <w:keepNext/>
        <w:spacing w:before="280" w:after="120"/>
      </w:pPr>
      <w:r>
        <w:rPr>
          <w:rFonts w:ascii="Calibri" w:hAnsi="Calibri"/>
          <w:b/>
          <w:color w:val="0F294F"/>
          <w:sz w:val="30"/>
        </w:rPr>
        <w:t>15. Future Scope</w:t>
      </w:r>
    </w:p>
    <w:p>
      <w:pPr>
        <w:pStyle w:val="ListBullet"/>
        <w:spacing w:before="0" w:after="60" w:line="269" w:lineRule="auto"/>
      </w:pPr>
      <w:r>
        <w:rPr>
          <w:rFonts w:ascii="Calibri" w:hAnsi="Calibri"/>
          <w:b/>
          <w:color w:val="333E50"/>
          <w:sz w:val="20"/>
        </w:rPr>
        <w:t xml:space="preserve">In-Circuit RSA Verification: </w:t>
      </w:r>
      <w:r>
        <w:rPr>
          <w:rFonts w:ascii="Calibri" w:hAnsi="Calibri"/>
          <w:color w:val="2C3444"/>
          <w:sz w:val="20"/>
        </w:rPr>
        <w:t>Implementing recursive folding-scheme SNARKs (Nova/SuperNova) to verify RSA-2048 signatures directly inside Circom circuits on mobile hardware.</w:t>
      </w:r>
    </w:p>
    <w:p>
      <w:pPr>
        <w:pStyle w:val="ListBullet"/>
        <w:spacing w:before="0" w:after="60" w:line="269" w:lineRule="auto"/>
      </w:pPr>
      <w:r>
        <w:rPr>
          <w:rFonts w:ascii="Calibri" w:hAnsi="Calibri"/>
          <w:b/>
          <w:color w:val="333E50"/>
          <w:sz w:val="20"/>
        </w:rPr>
        <w:t xml:space="preserve">Multi-Jurisdictional Connectors: </w:t>
      </w:r>
      <w:r>
        <w:rPr>
          <w:rFonts w:ascii="Calibri" w:hAnsi="Calibri"/>
          <w:color w:val="2C3444"/>
          <w:sz w:val="20"/>
        </w:rPr>
        <w:t>Expanding ingestion to EU eIDAS 2.0 wallets, US Mobile Driver's Licenses (ISO 18013-5), Singapore Singpass, and UAE ID envelopes.</w:t>
      </w:r>
    </w:p>
    <w:p>
      <w:pPr>
        <w:pStyle w:val="ListBullet"/>
        <w:spacing w:before="0" w:after="60" w:line="269" w:lineRule="auto"/>
      </w:pPr>
      <w:r>
        <w:rPr>
          <w:rFonts w:ascii="Calibri" w:hAnsi="Calibri"/>
          <w:b/>
          <w:color w:val="333E50"/>
          <w:sz w:val="20"/>
        </w:rPr>
        <w:t xml:space="preserve">Threshold Social Recovery: </w:t>
      </w:r>
      <w:r>
        <w:rPr>
          <w:rFonts w:ascii="Calibri" w:hAnsi="Calibri"/>
          <w:color w:val="2C3444"/>
          <w:sz w:val="20"/>
        </w:rPr>
        <w:t>Developing MPC threshold passkey recovery protocols allowing credential restoration via trusted guardian enclaves.</w:t>
      </w:r>
    </w:p>
    <w:p>
      <w:pPr>
        <w:pStyle w:val="ListBullet"/>
        <w:spacing w:before="0" w:after="60" w:line="269" w:lineRule="auto"/>
      </w:pPr>
      <w:r>
        <w:rPr>
          <w:rFonts w:ascii="Calibri" w:hAnsi="Calibri"/>
          <w:b/>
          <w:color w:val="333E50"/>
          <w:sz w:val="20"/>
        </w:rPr>
        <w:t xml:space="preserve">Cross-Chain Bridges: </w:t>
      </w:r>
      <w:r>
        <w:rPr>
          <w:rFonts w:ascii="Calibri" w:hAnsi="Calibri"/>
          <w:color w:val="2C3444"/>
          <w:sz w:val="20"/>
        </w:rPr>
        <w:t>Implementing trustless cryptographic state relayers between Algorand Box Storage and EVM/Solana for unified multichain verification.</w:t>
      </w:r>
    </w:p>
    <w:p>
      <w:pPr>
        <w:keepNext/>
        <w:spacing w:before="280" w:after="120"/>
      </w:pPr>
      <w:r>
        <w:rPr>
          <w:rFonts w:ascii="Calibri" w:hAnsi="Calibri"/>
          <w:b/>
          <w:color w:val="0F294F"/>
          <w:sz w:val="30"/>
        </w:rPr>
        <w:t>16. Conclusion</w:t>
      </w:r>
    </w:p>
    <w:p>
      <w:pPr>
        <w:spacing w:before="0" w:after="100" w:line="276" w:lineRule="auto"/>
      </w:pPr>
      <w:r>
        <w:rPr>
          <w:rFonts w:ascii="Calibri" w:hAnsi="Calibri"/>
          <w:color w:val="2C3444"/>
          <w:sz w:val="20"/>
        </w:rPr>
        <w:t>ZERO-ID demonstrates a complete, mathematically verified, and production-viable architecture for privacy-preserving digital identity verification. By synthesizing client-side Groth16 zero-knowledge proofs, hardware enclave biometric attestation via FIDO2/WebAuthn, and constant-time Algorand Layer-1 Box Storage revocation, the system completely dismantles the centralized PII honeypot model that has dominated digital identity infrastructure for two decades.</w:t>
      </w:r>
    </w:p>
    <w:p>
      <w:pPr>
        <w:spacing w:before="0" w:after="100" w:line="276" w:lineRule="auto"/>
      </w:pPr>
      <w:r>
        <w:rPr>
          <w:rFonts w:ascii="Calibri" w:hAnsi="Calibri"/>
          <w:color w:val="2C3444"/>
          <w:sz w:val="20"/>
        </w:rPr>
        <w:t>The project delivers four empirically measured technical effects that satisfy the patentability criteria under Section 3(k) of the Indian Patents Act 1970 and the Ferid Allani v. Union of India (2019) precedent: O(1) revocation lookup (vs. O(log N)), 99.6% reduction in revocation latency, 99.8% reduction in proof payload bandwidth, and 100% elimination of verifier PII breach surface.</w:t>
      </w:r>
    </w:p>
    <w:p>
      <w:pPr>
        <w:spacing w:before="0" w:after="100" w:line="276" w:lineRule="auto"/>
      </w:pPr>
      <w:r>
        <w:rPr>
          <w:rFonts w:ascii="Calibri" w:hAnsi="Calibri"/>
          <w:b/>
          <w:color w:val="333E50"/>
          <w:sz w:val="20"/>
        </w:rPr>
        <w:t xml:space="preserve">Novelty Confirmation: </w:t>
      </w:r>
      <w:r>
        <w:rPr>
          <w:rFonts w:ascii="Calibri" w:hAnsi="Calibri"/>
          <w:color w:val="2C3444"/>
          <w:sz w:val="20"/>
        </w:rPr>
        <w:t>Comprehensive prior-art analysis confirms that no existing patent, publication, or deployed system combines hardware-enclave parameter hash-chaining of Groth16 proof points with constant-time O(1) flat key-value blockchain revocation—establishing ZERO-ID as a genuinely novel cryptographic apparatus with clear inventive steps not previously disclosed in the art.</w:t>
      </w:r>
    </w:p>
    <w:p>
      <w:pPr>
        <w:keepNext/>
        <w:spacing w:before="280" w:after="120"/>
      </w:pPr>
      <w:r>
        <w:rPr>
          <w:rFonts w:ascii="Calibri" w:hAnsi="Calibri"/>
          <w:b/>
          <w:color w:val="0F294F"/>
          <w:sz w:val="30"/>
        </w:rPr>
        <w:t>17. Catalog of Original Components</w:t>
      </w:r>
    </w:p>
    <w:p>
      <w:pPr>
        <w:keepNext/>
        <w:spacing w:before="280" w:after="120"/>
      </w:pPr>
      <w:r>
        <w:rPr>
          <w:rFonts w:ascii="Calibri" w:hAnsi="Calibri"/>
          <w:b/>
          <w:color w:val="1D6FA5"/>
          <w:sz w:val="25"/>
        </w:rPr>
        <w:t>Original Research &amp; Conceptual Development</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Formulation of hardware-enclave parameter hash-chaining protocol to solve proof-forwarding Sybil attacks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Mathematical design of constant-time O(1) Box Storage revocation architecture</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Systematic prior-art differentiation analysis against Anon Aadhaar, Polygon ID, Worldcoin, FIDO-AC, and TIP Protocol</w:t>
      </w:r>
    </w:p>
    <w:p>
      <w:pPr>
        <w:keepNext/>
        <w:spacing w:before="280" w:after="120"/>
      </w:pPr>
      <w:r>
        <w:rPr>
          <w:rFonts w:ascii="Calibri" w:hAnsi="Calibri"/>
          <w:b/>
          <w:color w:val="1D6FA5"/>
          <w:sz w:val="25"/>
        </w:rPr>
        <w:t>Cryptographic Circuits &amp; Algorithms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Circom 2.1.0 age validation circuit (age_proof.circom) with 7-bit Num2Bits range constraints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Poseidon hash nullifier generation protocol with scoped relying-party unlinkability</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SHA-256 hardware challenge construction chaining Groth16 proof points to FIDO2 assertions</w:t>
      </w:r>
    </w:p>
    <w:p>
      <w:pPr>
        <w:keepNext/>
        <w:spacing w:before="280" w:after="120"/>
      </w:pPr>
      <w:r>
        <w:rPr>
          <w:rFonts w:ascii="Calibri" w:hAnsi="Calibri"/>
          <w:b/>
          <w:color w:val="1D6FA5"/>
          <w:sz w:val="25"/>
        </w:rPr>
        <w:t>Software &amp; Source Code</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Client-side WebAssembly proving pipeline (snarkjs) executing in edge browser runtimes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WebAuthn / FIDO2 biometric hardware binding service (webauthnService.js)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Algorand AVM 10+ smart contracts: bn254_pairing verifier (App 761383580) and Box Storage revocation index (App 761383581)</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Full-stack responsive application (React 18 / Vite / Node.js / Express)</w:t>
      </w:r>
    </w:p>
    <w:p>
      <w:pPr>
        <w:keepNext/>
        <w:spacing w:before="280" w:after="120"/>
      </w:pPr>
      <w:r>
        <w:rPr>
          <w:rFonts w:ascii="Calibri" w:hAnsi="Calibri"/>
          <w:b/>
          <w:color w:val="1D6FA5"/>
          <w:sz w:val="25"/>
        </w:rPr>
        <w:t>Empirical Benchmarks &amp; Analysis</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Automated patent benchmarking suite (patent_benchmarks.js) measuring revocation latency, proof size, PII reduction</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Regulatory compliance analysis under DPDP Act 2023, RBI Master Direction, and Puttaswamy mandate</w:t>
      </w:r>
    </w:p>
    <w:p>
      <w:pPr>
        <w:pStyle w:val="ListBullet"/>
        <w:spacing w:before="0" w:after="60" w:line="269" w:lineRule="auto"/>
      </w:pPr>
      <w:r>
        <w:rPr>
          <w:rFonts w:ascii="Calibri" w:hAnsi="Calibri"/>
          <w:b/>
          <w:color w:val="333E50"/>
          <w:sz w:val="20"/>
        </w:rPr>
        <w:t xml:space="preserve">• </w:t>
      </w:r>
      <w:r>
        <w:rPr>
          <w:rFonts w:ascii="Calibri" w:hAnsi="Calibri"/>
          <w:color w:val="2C3444"/>
          <w:sz w:val="20"/>
        </w:rPr>
        <w:t>Section 3(k) / Ferid Allani patentability assessment with measured technical effects</w:t>
      </w:r>
    </w:p>
    <w:p>
      <w:r>
        <w:br w:type="page"/>
      </w:r>
    </w:p>
    <w:p>
      <w:pPr>
        <w:keepNext/>
        <w:spacing w:before="280" w:after="120"/>
      </w:pPr>
      <w:r>
        <w:rPr>
          <w:rFonts w:ascii="Calibri" w:hAnsi="Calibri"/>
          <w:b/>
          <w:color w:val="0F294F"/>
          <w:sz w:val="30"/>
        </w:rPr>
        <w:t>18. Appendix: Formal Patent Claims Specification</w:t>
      </w:r>
    </w:p>
    <w:p>
      <w:pPr>
        <w:spacing w:before="0" w:after="100" w:line="276" w:lineRule="auto"/>
      </w:pPr>
      <w:r>
        <w:rPr>
          <w:rFonts w:ascii="Calibri" w:hAnsi="Calibri"/>
          <w:color w:val="2C3444"/>
          <w:sz w:val="20"/>
        </w:rPr>
        <w:t>The following formal claims define the scope of the patentable invention in accordance with the Indian Patents Act, 1970, as interpreted by the Delhi High Court in Ferid Allani v. Union of India (2019) and the Guidelines for Examination of Computer-Related Inventions (CRI).</w:t>
      </w:r>
    </w:p>
    <w:p>
      <w:pPr>
        <w:spacing w:before="0" w:after="100" w:line="276" w:lineRule="auto"/>
      </w:pPr>
      <w:r>
        <w:rPr>
          <w:rFonts w:ascii="Calibri" w:hAnsi="Calibri"/>
          <w:i/>
          <w:color w:val="2C3444"/>
          <w:sz w:val="20"/>
        </w:rPr>
        <w:t>WE CLAIM:</w:t>
      </w:r>
    </w:p>
    <w:p>
      <w:pPr>
        <w:spacing w:before="0" w:after="160" w:line="276" w:lineRule="auto"/>
      </w:pPr>
      <w:r>
        <w:rPr>
          <w:rFonts w:ascii="Calibri" w:hAnsi="Calibri"/>
          <w:b/>
          <w:color w:val="333E50"/>
          <w:sz w:val="19"/>
        </w:rPr>
        <w:t xml:space="preserve">[Claim 1] Independent Method Claim: </w:t>
      </w:r>
      <w:r>
        <w:rPr>
          <w:rFonts w:ascii="Calibri" w:hAnsi="Calibri"/>
          <w:color w:val="2C3444"/>
          <w:sz w:val="19"/>
        </w:rPr>
        <w:t>A computer-implemented method for privacy-preserving, hardware-bound digital identity verification with constant-time decentralized revocation, the method comprising:</w:t>
        <w:br/>
        <w:t>(a) ingesting, within a client-side execution environment of a user computing device, an electronic identity credential digitally signed by a trusted identity authority;</w:t>
        <w:br/>
        <w:t>(b) verifying, locally within volatile memory of said user computing device, the digital signature of the electronic identity credential without transmitting the credential across a network;</w:t>
        <w:br/>
        <w:t>(c) extracting at least one private identity attribute from the verified credential and supplying said attribute as a private witness into a zero-knowledge constraint circuit;</w:t>
        <w:br/>
        <w:t>(d) computing, via a WebAssembly proving engine executing locally, a zero-knowledge proof (pi) and a deterministic cryptographic nullifier hash, and subsequently purging the raw credential from memory;</w:t>
        <w:br/>
        <w:t>(e) generating a cryptographic hardware challenge comprising a hash digest of the proof (pi), the nullifier hash, a timestamp, and a relying party identifier;</w:t>
        <w:br/>
        <w:t>(f) signing said hardware challenge using an asymmetric private key isolated within a physical hardware security enclave, wherein accessing said key requires local biometric authentication; and</w:t>
        <w:br/>
        <w:t>(g) transmitting a composite verification token comprising the proof (pi), nullifier hash, hardware enclave signature, and public validation predicate to a relying party.</w:t>
      </w:r>
    </w:p>
    <w:p>
      <w:pPr>
        <w:spacing w:before="0" w:after="160" w:line="276" w:lineRule="auto"/>
      </w:pPr>
      <w:r>
        <w:rPr>
          <w:rFonts w:ascii="Calibri" w:hAnsi="Calibri"/>
          <w:b/>
          <w:color w:val="333E50"/>
          <w:sz w:val="19"/>
        </w:rPr>
        <w:t xml:space="preserve">[Claim 2] Dependent — Proof System: </w:t>
      </w:r>
      <w:r>
        <w:rPr>
          <w:rFonts w:ascii="Calibri" w:hAnsi="Calibri"/>
          <w:color w:val="2C3444"/>
          <w:sz w:val="19"/>
        </w:rPr>
        <w:t>The method of Claim 1, wherein the zero-knowledge constraint circuit comprises a Rank-1 Constraint System (R1CS) executing a Groth16 proving algorithm over the BN254 elliptic curve, producing a constant-size 128-byte proof payload (A in G1, B in G2, C in G1).</w:t>
      </w:r>
    </w:p>
    <w:p>
      <w:pPr>
        <w:spacing w:before="0" w:after="160" w:line="276" w:lineRule="auto"/>
      </w:pPr>
      <w:r>
        <w:rPr>
          <w:rFonts w:ascii="Calibri" w:hAnsi="Calibri"/>
          <w:b/>
          <w:color w:val="333E50"/>
          <w:sz w:val="19"/>
        </w:rPr>
        <w:t xml:space="preserve">[Claim 3] Dependent — Hardware Interface: </w:t>
      </w:r>
      <w:r>
        <w:rPr>
          <w:rFonts w:ascii="Calibri" w:hAnsi="Calibri"/>
          <w:color w:val="2C3444"/>
          <w:sz w:val="19"/>
        </w:rPr>
        <w:t>The method of Claim 1, wherein the hardware security enclave is selected from the group consisting of an Apple Secure Enclave, an Android Titan M2 Security Module, and a Trusted Platform Module (TPM 2.0), interfaced via the W3C Web Authentication (WebAuthn / FIDO2) API.</w:t>
      </w:r>
    </w:p>
    <w:p>
      <w:pPr>
        <w:spacing w:before="0" w:after="160" w:line="276" w:lineRule="auto"/>
      </w:pPr>
      <w:r>
        <w:rPr>
          <w:rFonts w:ascii="Calibri" w:hAnsi="Calibri"/>
          <w:b/>
          <w:color w:val="333E50"/>
          <w:sz w:val="19"/>
        </w:rPr>
        <w:t xml:space="preserve">[Claim 4] Dependent — Decentralized Revocation: </w:t>
      </w:r>
      <w:r>
        <w:rPr>
          <w:rFonts w:ascii="Calibri" w:hAnsi="Calibri"/>
          <w:color w:val="2C3444"/>
          <w:sz w:val="19"/>
        </w:rPr>
        <w:t>The method of Claim 1, further comprising: generating a revocation transaction signed by the hardware enclave key; broadcasting it to a Layer-1 blockchain network; writing a revocation flag to a key-value box indexed by the nullifier hash; wherein verifiers ascertain revocation status via an O(1) lookup achieving global propagation within a single block finality period of under four seconds.</w:t>
      </w:r>
    </w:p>
    <w:p>
      <w:pPr>
        <w:spacing w:before="0" w:after="160" w:line="276" w:lineRule="auto"/>
      </w:pPr>
      <w:r>
        <w:rPr>
          <w:rFonts w:ascii="Calibri" w:hAnsi="Calibri"/>
          <w:b/>
          <w:color w:val="333E50"/>
          <w:sz w:val="19"/>
        </w:rPr>
        <w:t xml:space="preserve">[Claim 5] Independent System Claim: </w:t>
      </w:r>
      <w:r>
        <w:rPr>
          <w:rFonts w:ascii="Calibri" w:hAnsi="Calibri"/>
          <w:color w:val="2C3444"/>
          <w:sz w:val="19"/>
        </w:rPr>
        <w:t>A privacy-preserving cryptographic identity verification system comprising: (a) a user client device with a processor, volatile memory, and hardware security enclave, configured to locally verify a credential signature, compute a ZK proof and nullifier, and sign a hash digest via biometrically-gated enclave key; (b) a decentralized ledger network executing revocation smart contracts storing flags in flat key-value boxes indexed by nullifier hashes; and (c) a relying party verifier node configured to verify the ZK proof via an on-chain bilinear pairing precompile and query revocation status via O(1) box lookup.</w:t>
      </w:r>
    </w:p>
    <w:p>
      <w:pPr>
        <w:spacing w:before="0" w:after="160" w:line="276" w:lineRule="auto"/>
      </w:pPr>
      <w:r>
        <w:rPr>
          <w:rFonts w:ascii="Calibri" w:hAnsi="Calibri"/>
          <w:b/>
          <w:color w:val="333E50"/>
          <w:sz w:val="19"/>
        </w:rPr>
        <w:t xml:space="preserve">[Claim 6] Dependent — Algorand: </w:t>
      </w:r>
      <w:r>
        <w:rPr>
          <w:rFonts w:ascii="Calibri" w:hAnsi="Calibri"/>
          <w:color w:val="2C3444"/>
          <w:sz w:val="19"/>
        </w:rPr>
        <w:t>The system of Claim 5, wherein the decentralized ledger is Algorand Layer-1, the pairing precompile is the bn254_pairing AVM opcode, and the key-value boxes are Algorand Box Storage allocations.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64748B"/>
        <w:sz w:val="16"/>
      </w:rPr>
      <w:t xml:space="preserve">Page </w:t>
    </w:r>
    <w:r>
      <w:rPr>
        <w:rFonts w:ascii="Calibri" w:hAnsi="Calibri"/>
        <w:color w:val="64748B"/>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color w:val="64748B"/>
        <w:sz w:val="16"/>
      </w:rPr>
      <w:t>ZERO-ID  |  Patent Disclosure &amp; Technical Project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