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00000"/>
          <w:sz w:val="48"/>
        </w:rPr>
        <w:t>ZERO-ID: Hardware-Bound Zero-Knowledge Identity</w:t>
        <w:br/>
        <w:t>Verification with Constant-Time Decentralized Revocation</w:t>
        <w:br/>
        <w:t>on Algorand Layer-1</w:t>
      </w:r>
    </w:p>
    <w:p>
      <w:pPr>
        <w:spacing w:before="0" w:after="40"/>
        <w:jc w:val="center"/>
      </w:pPr>
      <w:r>
        <w:rPr>
          <w:rFonts w:ascii="Times New Roman" w:hAnsi="Times New Roman"/>
          <w:color w:val="000000"/>
          <w:sz w:val="22"/>
        </w:rPr>
        <w:t>Suyash</w:t>
      </w:r>
    </w:p>
    <w:p>
      <w:pPr>
        <w:spacing w:before="0" w:after="40"/>
        <w:jc w:val="center"/>
      </w:pPr>
      <w:r>
        <w:rPr>
          <w:rFonts w:ascii="Times New Roman" w:hAnsi="Times New Roman"/>
          <w:i/>
          <w:color w:val="000000"/>
          <w:sz w:val="22"/>
        </w:rPr>
        <w:t>Department of Computer Science and Engineering</w:t>
      </w:r>
    </w:p>
    <w:p>
      <w:pPr>
        <w:spacing w:before="0" w:after="40"/>
        <w:jc w:val="center"/>
      </w:pPr>
      <w:r>
        <w:rPr>
          <w:rFonts w:ascii="Times New Roman" w:hAnsi="Times New Roman"/>
          <w:i/>
          <w:color w:val="000000"/>
          <w:sz w:val="22"/>
        </w:rPr>
        <w:t>Independent Researcher</w:t>
      </w:r>
    </w:p>
    <w:p>
      <w:pPr>
        <w:spacing w:before="0" w:after="40"/>
        <w:jc w:val="center"/>
      </w:pPr>
      <w:r>
        <w:rPr>
          <w:rFonts w:ascii="Times New Roman" w:hAnsi="Times New Roman"/>
          <w:color w:val="000000"/>
          <w:sz w:val="22"/>
        </w:rPr>
        <w:t>suyash@zeroid.dev</w:t>
      </w:r>
    </w:p>
    <w:p>
      <w:pPr>
        <w:spacing w:before="240" w:after="160" w:line="240" w:lineRule="auto"/>
        <w:ind w:firstLine="360"/>
        <w:jc w:val="both"/>
      </w:pPr>
      <w:r>
        <w:rPr>
          <w:rFonts w:ascii="Times New Roman" w:hAnsi="Times New Roman"/>
          <w:b/>
          <w:i/>
          <w:color w:val="000000"/>
          <w:sz w:val="18"/>
        </w:rPr>
        <w:t>Abstract—</w:t>
      </w:r>
      <w:r>
        <w:rPr>
          <w:rFonts w:ascii="Times New Roman" w:hAnsi="Times New Roman"/>
          <w:i/>
          <w:color w:val="000000"/>
          <w:sz w:val="18"/>
        </w:rPr>
        <w:t>Contemporary digital identity verification systems require centralized storage of raw personally identifiable information (PII), creating high-value breach targets and regulatory liabilities under frameworks such as India's Digital Personal Data Protection Act 2023 and the EU General Data Protection Regulation. Existing zero-knowledge approaches to Know Your Customer (KYC) compliance suffer from two fundamental limitations: proof-forwarding vulnerabilities wherein valid cryptographic proofs can be trivially shared between individuals, and logarithmic-time revocation architectures that introduce unacceptable latency at national scale. This paper presents ZERO-ID, a novel three-layer cryptographic protocol that addresses both limitations simultaneously. The protocol integrates client-side Groth16 zk-SNARK proof generation over the BN254 elliptic curve with W3C WebAuthn hardware security enclave binding to achieve device-locked proof authenticity. Revocation is managed through an Algorand Layer-1 flat key-value Box Storage architecture that reduces credential invalidation from O(log N) Merkle tree traversals to O(1) constant-time lookups with 3.8-second global propagation. Empirical evaluation demonstrates a 256-byte constant proof payload compatible with QR Version 4 encoding, sub-4-millisecond on-chain verification via the native bn254_pairing AVM opcode, and complete elimination of verifier-side PII storage. The system achieves a 99.6% reduction in revocation latency and 99.8% reduction in proof transmission bandwidth compared to Sparse Merkle Tree accumulator approaches on EVM chains.</w:t>
      </w:r>
    </w:p>
    <w:p>
      <w:pPr>
        <w:spacing w:before="80" w:after="240"/>
        <w:ind w:firstLine="360"/>
        <w:jc w:val="both"/>
      </w:pPr>
      <w:r>
        <w:rPr>
          <w:rFonts w:ascii="Times New Roman" w:hAnsi="Times New Roman"/>
          <w:b/>
          <w:i/>
          <w:color w:val="000000"/>
          <w:sz w:val="18"/>
        </w:rPr>
        <w:t>Keywords—</w:t>
      </w:r>
      <w:r>
        <w:rPr>
          <w:rFonts w:ascii="Times New Roman" w:hAnsi="Times New Roman"/>
          <w:i/>
          <w:color w:val="000000"/>
          <w:sz w:val="18"/>
        </w:rPr>
        <w:t>zero-knowledge proofs, digital identity, hardware security enclave, WebAuthn, FIDO2, Algorand, blockchain, Groth16, zk-SNARK, privacy-preserving authentication, credential revocation</w:t>
      </w:r>
    </w:p>
    <w:p>
      <w:pPr>
        <w:keepNext/>
        <w:spacing w:before="240" w:after="120"/>
        <w:jc w:val="center"/>
      </w:pPr>
      <w:r>
        <w:rPr>
          <w:rFonts w:ascii="Times New Roman" w:hAnsi="Times New Roman"/>
          <w:b/>
          <w:color w:val="000000"/>
          <w:sz w:val="20"/>
        </w:rPr>
        <w:t>I. INTRODUCTION</w:t>
      </w:r>
    </w:p>
    <w:p>
      <w:pPr>
        <w:spacing w:before="0" w:after="80" w:line="240" w:lineRule="auto"/>
        <w:ind w:firstLine="360"/>
        <w:jc w:val="both"/>
      </w:pPr>
      <w:r>
        <w:rPr>
          <w:rFonts w:ascii="Times New Roman" w:hAnsi="Times New Roman"/>
          <w:color w:val="000000"/>
          <w:sz w:val="20"/>
        </w:rPr>
        <w:t>Digital identity verification remains one of the most consequential unsolved problems in applied cryptography and distributed systems engineering. The prevailing paradigm across financial services, telecommunications, hospitality, and government sectors operates under a structurally flawed assumption: to verify a property of an individual's identity, the verifying party must collect, transmit, and persistently store the complete identity record. In India alone, the Unique Identification Authority of India (UIDAI) has enrolled over 1.4 billion residents in the Aadhaar biometric identity system [1]. When a citizen opens a bank account, purchases a SIM card, or registers for a government benefit, a complete copy of their Aadhaar document—containing name, date of birth, home address, photograph, and 12-digit unique identifier—is archived in enterprise databases across thousands of private organizations.</w:t>
      </w:r>
    </w:p>
    <w:p>
      <w:pPr>
        <w:spacing w:before="0" w:after="80" w:line="240" w:lineRule="auto"/>
        <w:ind w:firstLine="360"/>
        <w:jc w:val="both"/>
      </w:pPr>
      <w:r>
        <w:rPr>
          <w:rFonts w:ascii="Times New Roman" w:hAnsi="Times New Roman"/>
          <w:color w:val="000000"/>
          <w:sz w:val="20"/>
        </w:rPr>
        <w:t>This centralized aggregation of PII has produced catastrophic security outcomes. In 2023, multiple data breaches exposed over 815 million Indian citizens' identity records on dark web marketplaces [2]. Under Section 33 of India's Digital Personal Data Protection (DPDP) Act 2023, data fiduciaries face statutory penalties up to INR 250 Crores (approximately USD 30 million) per breach incident [3]. The economic incentive structure has fundamentally shifted: storing raw customer identity data has transitioned from a routine IT operation to an existential corporate liability.</w:t>
      </w:r>
    </w:p>
    <w:p>
      <w:pPr>
        <w:spacing w:before="0" w:after="80" w:line="240" w:lineRule="auto"/>
        <w:ind w:firstLine="360"/>
        <w:jc w:val="both"/>
      </w:pPr>
      <w:r>
        <w:rPr>
          <w:rFonts w:ascii="Times New Roman" w:hAnsi="Times New Roman"/>
          <w:color w:val="000000"/>
          <w:sz w:val="20"/>
        </w:rPr>
        <w:t>Zero-knowledge proof (ZKP) protocols offer a theoretically elegant solution by enabling a prover to demonstrate knowledge of a statement's truth without revealing the underlying witness. However, existing ZK-based identity systems exhibit two critical architectural limitations that preclude production deployment at national scale:</w:t>
      </w:r>
    </w:p>
    <w:p>
      <w:pPr>
        <w:spacing w:before="0" w:after="80" w:line="240" w:lineRule="auto"/>
        <w:ind w:firstLine="360"/>
        <w:jc w:val="both"/>
      </w:pPr>
      <w:r>
        <w:rPr>
          <w:rFonts w:ascii="Times New Roman" w:hAnsi="Times New Roman"/>
          <w:color w:val="000000"/>
          <w:sz w:val="20"/>
        </w:rPr>
        <w:t>First, the proof-forwarding vulnerability. In protocols such as Anon Aadhaar [4] and Sismo [5], generated proofs are self-contained JSON objects that can be trivially forwarded from one party to another via standard messaging channels. If citizen A generates a valid 256-byte proof asserting age &gt;= 18, citizen B can present that identical proof to a verifier, gaining unauthorized access. No deployed ZK-KYC system cryptographically binds proofs to a specific physical device without requiring proprietary biometric hardware such as Worldcoin's USD 5,000+ Orb scanner [6].</w:t>
      </w:r>
    </w:p>
    <w:p>
      <w:pPr>
        <w:spacing w:before="0" w:after="80" w:line="240" w:lineRule="auto"/>
        <w:ind w:firstLine="360"/>
        <w:jc w:val="both"/>
      </w:pPr>
      <w:r>
        <w:rPr>
          <w:rFonts w:ascii="Times New Roman" w:hAnsi="Times New Roman"/>
          <w:color w:val="000000"/>
          <w:sz w:val="20"/>
        </w:rPr>
        <w:t>Second, the revocation bottleneck. Frameworks such as Polygon ID and Iden3 [7] manage credential revocation through on-chain Sparse Merkle Tree (SMT) accumulators with depths of 20–40 levels. Revoking a single credential requires recomputing the tree root and broadcasting an expensive Layer-1 transaction on Ethereum, forcing all non-revoked credential holders to re-download updated witness membership paths. This architecture introduces 12–15 minute settlement latencies and USD 2–45 in gas fees per update [8], rendering it computationally and economically infeasible for identity systems serving populations exceeding 10^8 users.</w:t>
      </w:r>
    </w:p>
    <w:p>
      <w:pPr>
        <w:spacing w:before="0" w:after="80" w:line="240" w:lineRule="auto"/>
        <w:ind w:firstLine="360"/>
        <w:jc w:val="both"/>
      </w:pPr>
      <w:r>
        <w:rPr>
          <w:rFonts w:ascii="Times New Roman" w:hAnsi="Times New Roman"/>
          <w:color w:val="000000"/>
          <w:sz w:val="20"/>
        </w:rPr>
        <w:t>This paper presents ZERO-ID, a three-layer cryptographic identity verification protocol that resolves both limitations through the following contributions:</w:t>
      </w:r>
    </w:p>
    <w:p>
      <w:pPr>
        <w:spacing w:before="0" w:after="80" w:line="240" w:lineRule="auto"/>
        <w:jc w:val="both"/>
      </w:pPr>
      <w:r>
        <w:rPr>
          <w:rFonts w:ascii="Times New Roman" w:hAnsi="Times New Roman"/>
          <w:color w:val="000000"/>
          <w:sz w:val="20"/>
        </w:rPr>
        <w:t>1) A hardware-enclave parameter hash-chaining mechanism that cryptographically fuses Groth16 proof points to non-exportable ECDSA-P256 keys inside commodity FIDO2 hardware security enclaves (Apple Secure Enclave, Android Titan M2, Windows TPM 2.0), eliminating proof forwarding without proprietary biometric scanners.</w:t>
      </w:r>
    </w:p>
    <w:p>
      <w:pPr>
        <w:spacing w:before="0" w:after="80" w:line="240" w:lineRule="auto"/>
        <w:jc w:val="both"/>
      </w:pPr>
      <w:r>
        <w:rPr>
          <w:rFonts w:ascii="Times New Roman" w:hAnsi="Times New Roman"/>
          <w:color w:val="000000"/>
          <w:sz w:val="20"/>
        </w:rPr>
        <w:t>2) A constant-time O(1) decentralized revocation architecture using Algorand Layer-1 Box Storage that replaces O(log N) Merkle tree traversals with direct key-value lookups, achieving global credential invalidation in 3.8 seconds with deterministic finality.</w:t>
      </w:r>
    </w:p>
    <w:p>
      <w:pPr>
        <w:spacing w:before="0" w:after="80" w:line="240" w:lineRule="auto"/>
        <w:jc w:val="both"/>
      </w:pPr>
      <w:r>
        <w:rPr>
          <w:rFonts w:ascii="Times New Roman" w:hAnsi="Times New Roman"/>
          <w:color w:val="000000"/>
          <w:sz w:val="20"/>
        </w:rPr>
        <w:t>3) An end-to-end zero-PII client-side proving pipeline compiled to WebAssembly that ingests UIDAI-signed e-KYC XML envelopes, generates Groth16 proofs in under 1.5 seconds on mobile hardware, and cryptographically purges all raw identity data before the proof leaves the device.</w:t>
      </w:r>
    </w:p>
    <w:p>
      <w:pPr>
        <w:keepNext/>
        <w:spacing w:before="240" w:after="120"/>
        <w:jc w:val="center"/>
      </w:pPr>
      <w:r>
        <w:rPr>
          <w:rFonts w:ascii="Times New Roman" w:hAnsi="Times New Roman"/>
          <w:b/>
          <w:color w:val="000000"/>
          <w:sz w:val="20"/>
        </w:rPr>
        <w:t>II. RELATED WORK</w:t>
      </w:r>
    </w:p>
    <w:p>
      <w:pPr>
        <w:keepNext/>
        <w:spacing w:before="160" w:after="80"/>
      </w:pPr>
      <w:r>
        <w:rPr>
          <w:rFonts w:ascii="Times New Roman" w:hAnsi="Times New Roman"/>
          <w:b w:val="0"/>
          <w:i/>
          <w:color w:val="000000"/>
          <w:sz w:val="20"/>
        </w:rPr>
        <w:t>A. Zero-Knowledge Identity Protocols</w:t>
      </w:r>
    </w:p>
    <w:p>
      <w:pPr>
        <w:spacing w:before="0" w:after="80" w:line="240" w:lineRule="auto"/>
        <w:ind w:firstLine="360"/>
        <w:jc w:val="both"/>
      </w:pPr>
      <w:r>
        <w:rPr>
          <w:rFonts w:ascii="Times New Roman" w:hAnsi="Times New Roman"/>
          <w:color w:val="000000"/>
          <w:sz w:val="20"/>
        </w:rPr>
        <w:t>The application of zero-knowledge proofs to identity verification has received significant attention in both academic literature and open-source implementations. Ben-Sasson et al. [9] established foundational efficiency bounds for succinct non-interactive arguments of knowledge (SNARKs). Groth [10] subsequently introduced the optimal-size proof system bearing his name, producing constant-size proofs comprising three group elements over pairing-friendly curves.</w:t>
      </w:r>
    </w:p>
    <w:p>
      <w:pPr>
        <w:spacing w:before="0" w:after="80" w:line="240" w:lineRule="auto"/>
        <w:ind w:firstLine="360"/>
        <w:jc w:val="both"/>
      </w:pPr>
      <w:r>
        <w:rPr>
          <w:rFonts w:ascii="Times New Roman" w:hAnsi="Times New Roman"/>
          <w:color w:val="000000"/>
          <w:sz w:val="20"/>
        </w:rPr>
        <w:t>Anon Aadhaar, developed by Privacy and Scaling Explorations (PSE) at the Ethereum Foundation [4], represents the closest prior work to ZERO-ID in the Indian identity context. The protocol verifies UIDAI RSA signatures within a zk-SNARK circuit, enabling selective attribute disclosure from Aadhaar Secure QR codes. However, Anon Aadhaar proofs are portable JSON objects with no hardware binding, leaving the system vulnerable to proof forwarding. Additionally, it lacks an on-chain revocation mechanism, providing no path for credential invalidation after issuance.</w:t>
      </w:r>
    </w:p>
    <w:p>
      <w:pPr>
        <w:spacing w:before="0" w:after="80" w:line="240" w:lineRule="auto"/>
        <w:ind w:firstLine="360"/>
        <w:jc w:val="both"/>
      </w:pPr>
      <w:r>
        <w:rPr>
          <w:rFonts w:ascii="Times New Roman" w:hAnsi="Times New Roman"/>
          <w:color w:val="000000"/>
          <w:sz w:val="20"/>
        </w:rPr>
        <w:t>Polygon ID [7] implements W3C Verifiable Credentials with selective disclosure through BabyJubJub circuit verification. Its revocation architecture relies on Sparse Merkle Tree accumulators deployed on Ethereum Layer-1, incurring O(log N) update complexity. Gentry and Wichs [11] demonstrated theoretical lower bounds on SNARK argument sizes; Groth16's 256-byte payload (three compressed BN254 group elements) remains among the smallest known constructions for pairing-based proof systems, though we do not claim it meets the Gentry-Wichs bound exactly.</w:t>
      </w:r>
    </w:p>
    <w:p>
      <w:pPr>
        <w:keepNext/>
        <w:spacing w:before="160" w:after="80"/>
      </w:pPr>
      <w:r>
        <w:rPr>
          <w:rFonts w:ascii="Times New Roman" w:hAnsi="Times New Roman"/>
          <w:b w:val="0"/>
          <w:i/>
          <w:color w:val="000000"/>
          <w:sz w:val="20"/>
        </w:rPr>
        <w:t>B. Hardware-Bound Authentication</w:t>
      </w:r>
    </w:p>
    <w:p>
      <w:pPr>
        <w:spacing w:before="0" w:after="80" w:line="240" w:lineRule="auto"/>
        <w:ind w:firstLine="360"/>
        <w:jc w:val="both"/>
      </w:pPr>
      <w:r>
        <w:rPr>
          <w:rFonts w:ascii="Times New Roman" w:hAnsi="Times New Roman"/>
          <w:color w:val="000000"/>
          <w:sz w:val="20"/>
        </w:rPr>
        <w:t>The W3C Web Authentication (WebAuthn) standard [12] and its underlying FIDO2 protocol [13] enable passwordless authentication through hardware security enclaves. The authenticator generates a non-exportable asymmetric key pair (ECDSA-P256 on the secp256r1 curve) inside an isolated hardware module, where the private key never crosses the memory bus boundary. Yeoh et al. [14] proposed FIDO-AC, extending FIDO2 with BBS+ attribute credentials from ePassport data. However, FIDO-AC does not address on-chain revocation and operates exclusively with BBS+ signatures rather than Groth16 pairing equations.</w:t>
      </w:r>
    </w:p>
    <w:p>
      <w:pPr>
        <w:spacing w:before="0" w:after="80" w:line="240" w:lineRule="auto"/>
        <w:ind w:firstLine="360"/>
        <w:jc w:val="both"/>
      </w:pPr>
      <w:r>
        <w:rPr>
          <w:rFonts w:ascii="Times New Roman" w:hAnsi="Times New Roman"/>
          <w:color w:val="000000"/>
          <w:sz w:val="20"/>
        </w:rPr>
        <w:t>Cloudflare's Privacy Attestation Token (PAT) protocol [15] applies zero-knowledge device attestation for bot detection but is limited to authentication contexts and does not support identity credential verification, government document ingestion, or revocation state management.</w:t>
      </w:r>
    </w:p>
    <w:p>
      <w:pPr>
        <w:keepNext/>
        <w:spacing w:before="160" w:after="80"/>
      </w:pPr>
      <w:r>
        <w:rPr>
          <w:rFonts w:ascii="Times New Roman" w:hAnsi="Times New Roman"/>
          <w:b w:val="0"/>
          <w:i/>
          <w:color w:val="000000"/>
          <w:sz w:val="20"/>
        </w:rPr>
        <w:t>C. Blockchain-Based Credential Management</w:t>
      </w:r>
    </w:p>
    <w:p>
      <w:pPr>
        <w:spacing w:before="0" w:after="80" w:line="240" w:lineRule="auto"/>
        <w:ind w:firstLine="360"/>
        <w:jc w:val="both"/>
      </w:pPr>
      <w:r>
        <w:rPr>
          <w:rFonts w:ascii="Times New Roman" w:hAnsi="Times New Roman"/>
          <w:color w:val="000000"/>
          <w:sz w:val="20"/>
        </w:rPr>
        <w:t>Algorand's Pure Proof of Stake consensus mechanism [16] provides deterministic 3.8-second block finality with zero fork probability, distinguishing it from probabilistic finality models on Ethereum and Solana. Algorand Virtual Machine (AVM) version 10+ introduced native support for the bn254_pairing opcode, enabling bilinear pairing computations directly in smart contract execution without external oracle dependencies. Box Storage, introduced in AVM 8, provides contract-scoped key-value storage with O(1) read/write semantics and predictable minimum balance requirements [17].</w:t>
      </w:r>
    </w:p>
    <w:p>
      <w:pPr>
        <w:keepNext/>
        <w:spacing w:before="160" w:after="80"/>
        <w:jc w:val="center"/>
      </w:pPr>
      <w:r>
        <w:rPr>
          <w:rFonts w:ascii="Times New Roman" w:hAnsi="Times New Roman"/>
          <w:color w:val="000000"/>
          <w:sz w:val="16"/>
        </w:rPr>
        <w:t>TABLE I. COMPARISON OF PRIVACY-PRESERVING IDENTITY VERIFICATION SYSTEMS</w:t>
      </w:r>
    </w:p>
    <w:tbl>
      <w:tblPr>
        <w:tblW w:type="dxa" w:w="4320"/>
        <w:jc w:val="center"/>
        <w:tblLayout w:type="fixed"/>
        <w:tblLook w:firstColumn="1" w:firstRow="1" w:lastColumn="0" w:lastRow="0" w:noHBand="0" w:noVBand="1" w:val="04A0"/>
        <w:tblBorders>
          <w:top w:val="single" w:sz="4" w:space="0" w:color="000000"/>
          <w:bottom w:val="single" w:sz="4" w:space="0" w:color="000000"/>
          <w:insideH w:val="single" w:sz="4" w:space="0" w:color="000000"/>
        </w:tblBorders>
      </w:tblPr>
      <w:tblGrid>
        <w:gridCol w:w="820"/>
        <w:gridCol w:w="900"/>
        <w:gridCol w:w="950"/>
        <w:gridCol w:w="750"/>
        <w:gridCol w:w="900"/>
      </w:tblGrid>
      <w:tr>
        <w:trPr>
          <w:cantSplit/>
        </w:trPr>
        <w:tc>
          <w:tcPr>
            <w:tcW w:type="dxa" w:w="820"/>
          </w:tcPr>
          <w:p>
            <w:pPr>
              <w:spacing w:before="15" w:after="15"/>
            </w:pPr>
            <w:r>
              <w:rPr>
                <w:rFonts w:ascii="Times New Roman" w:hAnsi="Times New Roman"/>
                <w:b/>
                <w:color w:val="000000"/>
                <w:sz w:val="11"/>
              </w:rPr>
              <w:t>System</w:t>
            </w:r>
          </w:p>
        </w:tc>
        <w:tc>
          <w:tcPr>
            <w:tcW w:type="dxa" w:w="900"/>
          </w:tcPr>
          <w:p>
            <w:pPr>
              <w:spacing w:before="15" w:after="15"/>
            </w:pPr>
            <w:r>
              <w:rPr>
                <w:rFonts w:ascii="Times New Roman" w:hAnsi="Times New Roman"/>
                <w:b/>
                <w:color w:val="000000"/>
                <w:sz w:val="11"/>
              </w:rPr>
              <w:t>Binding</w:t>
            </w:r>
          </w:p>
        </w:tc>
        <w:tc>
          <w:tcPr>
            <w:tcW w:type="dxa" w:w="950"/>
          </w:tcPr>
          <w:p>
            <w:pPr>
              <w:spacing w:before="15" w:after="15"/>
            </w:pPr>
            <w:r>
              <w:rPr>
                <w:rFonts w:ascii="Times New Roman" w:hAnsi="Times New Roman"/>
                <w:b/>
                <w:color w:val="000000"/>
                <w:sz w:val="11"/>
              </w:rPr>
              <w:t>Revocation</w:t>
            </w:r>
          </w:p>
        </w:tc>
        <w:tc>
          <w:tcPr>
            <w:tcW w:type="dxa" w:w="750"/>
          </w:tcPr>
          <w:p>
            <w:pPr>
              <w:spacing w:before="15" w:after="15"/>
            </w:pPr>
            <w:r>
              <w:rPr>
                <w:rFonts w:ascii="Times New Roman" w:hAnsi="Times New Roman"/>
                <w:b/>
                <w:color w:val="000000"/>
                <w:sz w:val="11"/>
              </w:rPr>
              <w:t>Latency</w:t>
            </w:r>
          </w:p>
        </w:tc>
        <w:tc>
          <w:tcPr>
            <w:tcW w:type="dxa" w:w="900"/>
          </w:tcPr>
          <w:p>
            <w:pPr>
              <w:spacing w:before="15" w:after="15"/>
            </w:pPr>
            <w:r>
              <w:rPr>
                <w:rFonts w:ascii="Times New Roman" w:hAnsi="Times New Roman"/>
                <w:b/>
                <w:color w:val="000000"/>
                <w:sz w:val="11"/>
              </w:rPr>
              <w:t>PII</w:t>
            </w:r>
          </w:p>
        </w:tc>
      </w:tr>
      <w:tr>
        <w:trPr>
          <w:cantSplit/>
        </w:trPr>
        <w:tc>
          <w:tcPr>
            <w:tcW w:type="dxa" w:w="820"/>
          </w:tcPr>
          <w:p>
            <w:pPr>
              <w:spacing w:before="15" w:after="15"/>
            </w:pPr>
            <w:r>
              <w:rPr>
                <w:rFonts w:ascii="Times New Roman" w:hAnsi="Times New Roman"/>
                <w:b w:val="0"/>
                <w:color w:val="000000"/>
                <w:sz w:val="11"/>
              </w:rPr>
              <w:t>Anon Aadhaar [4]</w:t>
            </w:r>
          </w:p>
        </w:tc>
        <w:tc>
          <w:tcPr>
            <w:tcW w:type="dxa" w:w="900"/>
          </w:tcPr>
          <w:p>
            <w:pPr>
              <w:spacing w:before="15" w:after="15"/>
            </w:pPr>
            <w:r>
              <w:rPr>
                <w:rFonts w:ascii="Times New Roman" w:hAnsi="Times New Roman"/>
                <w:b w:val="0"/>
                <w:color w:val="000000"/>
                <w:sz w:val="11"/>
              </w:rPr>
              <w:t>None (JSON)</w:t>
            </w:r>
          </w:p>
        </w:tc>
        <w:tc>
          <w:tcPr>
            <w:tcW w:type="dxa" w:w="950"/>
          </w:tcPr>
          <w:p>
            <w:pPr>
              <w:spacing w:before="15" w:after="15"/>
            </w:pPr>
            <w:r>
              <w:rPr>
                <w:rFonts w:ascii="Times New Roman" w:hAnsi="Times New Roman"/>
                <w:b w:val="0"/>
                <w:color w:val="000000"/>
                <w:sz w:val="11"/>
              </w:rPr>
              <w:t>None</w:t>
            </w:r>
          </w:p>
        </w:tc>
        <w:tc>
          <w:tcPr>
            <w:tcW w:type="dxa" w:w="750"/>
          </w:tcPr>
          <w:p>
            <w:pPr>
              <w:spacing w:before="15" w:after="15"/>
            </w:pPr>
            <w:r>
              <w:rPr>
                <w:rFonts w:ascii="Times New Roman" w:hAnsi="Times New Roman"/>
                <w:b w:val="0"/>
                <w:color w:val="000000"/>
                <w:sz w:val="11"/>
              </w:rPr>
              <w:t>N/A</w:t>
            </w:r>
          </w:p>
        </w:tc>
        <w:tc>
          <w:tcPr>
            <w:tcW w:type="dxa" w:w="900"/>
          </w:tcPr>
          <w:p>
            <w:pPr>
              <w:spacing w:before="15" w:after="15"/>
            </w:pPr>
            <w:r>
              <w:rPr>
                <w:rFonts w:ascii="Times New Roman" w:hAnsi="Times New Roman"/>
                <w:b w:val="0"/>
                <w:color w:val="000000"/>
                <w:sz w:val="11"/>
              </w:rPr>
              <w:t>0 B</w:t>
            </w:r>
          </w:p>
        </w:tc>
      </w:tr>
      <w:tr>
        <w:trPr>
          <w:cantSplit/>
        </w:trPr>
        <w:tc>
          <w:tcPr>
            <w:tcW w:type="dxa" w:w="820"/>
          </w:tcPr>
          <w:p>
            <w:pPr>
              <w:spacing w:before="15" w:after="15"/>
            </w:pPr>
            <w:r>
              <w:rPr>
                <w:rFonts w:ascii="Times New Roman" w:hAnsi="Times New Roman"/>
                <w:b w:val="0"/>
                <w:color w:val="000000"/>
                <w:sz w:val="11"/>
              </w:rPr>
              <w:t>Polygon ID [7]</w:t>
            </w:r>
          </w:p>
        </w:tc>
        <w:tc>
          <w:tcPr>
            <w:tcW w:type="dxa" w:w="900"/>
          </w:tcPr>
          <w:p>
            <w:pPr>
              <w:spacing w:before="15" w:after="15"/>
            </w:pPr>
            <w:r>
              <w:rPr>
                <w:rFonts w:ascii="Times New Roman" w:hAnsi="Times New Roman"/>
                <w:b w:val="0"/>
                <w:color w:val="000000"/>
                <w:sz w:val="11"/>
              </w:rPr>
              <w:t>None</w:t>
            </w:r>
          </w:p>
        </w:tc>
        <w:tc>
          <w:tcPr>
            <w:tcW w:type="dxa" w:w="950"/>
          </w:tcPr>
          <w:p>
            <w:pPr>
              <w:spacing w:before="15" w:after="15"/>
            </w:pPr>
            <w:r>
              <w:rPr>
                <w:rFonts w:ascii="Times New Roman" w:hAnsi="Times New Roman"/>
                <w:b w:val="0"/>
                <w:color w:val="000000"/>
                <w:sz w:val="11"/>
              </w:rPr>
              <w:t>O(log N) SMT</w:t>
            </w:r>
          </w:p>
        </w:tc>
        <w:tc>
          <w:tcPr>
            <w:tcW w:type="dxa" w:w="750"/>
          </w:tcPr>
          <w:p>
            <w:pPr>
              <w:spacing w:before="15" w:after="15"/>
            </w:pPr>
            <w:r>
              <w:rPr>
                <w:rFonts w:ascii="Times New Roman" w:hAnsi="Times New Roman"/>
                <w:b w:val="0"/>
                <w:color w:val="000000"/>
                <w:sz w:val="11"/>
              </w:rPr>
              <w:t>12-15 min</w:t>
            </w:r>
          </w:p>
        </w:tc>
        <w:tc>
          <w:tcPr>
            <w:tcW w:type="dxa" w:w="900"/>
          </w:tcPr>
          <w:p>
            <w:pPr>
              <w:spacing w:before="15" w:after="15"/>
            </w:pPr>
            <w:r>
              <w:rPr>
                <w:rFonts w:ascii="Times New Roman" w:hAnsi="Times New Roman"/>
                <w:b w:val="0"/>
                <w:color w:val="000000"/>
                <w:sz w:val="11"/>
              </w:rPr>
              <w:t>0 B</w:t>
            </w:r>
          </w:p>
        </w:tc>
      </w:tr>
      <w:tr>
        <w:trPr>
          <w:cantSplit/>
        </w:trPr>
        <w:tc>
          <w:tcPr>
            <w:tcW w:type="dxa" w:w="820"/>
          </w:tcPr>
          <w:p>
            <w:pPr>
              <w:spacing w:before="15" w:after="15"/>
            </w:pPr>
            <w:r>
              <w:rPr>
                <w:rFonts w:ascii="Times New Roman" w:hAnsi="Times New Roman"/>
                <w:b w:val="0"/>
                <w:color w:val="000000"/>
                <w:sz w:val="11"/>
              </w:rPr>
              <w:t>Worldcoin [6]</w:t>
            </w:r>
          </w:p>
        </w:tc>
        <w:tc>
          <w:tcPr>
            <w:tcW w:type="dxa" w:w="900"/>
          </w:tcPr>
          <w:p>
            <w:pPr>
              <w:spacing w:before="15" w:after="15"/>
            </w:pPr>
            <w:r>
              <w:rPr>
                <w:rFonts w:ascii="Times New Roman" w:hAnsi="Times New Roman"/>
                <w:b w:val="0"/>
                <w:color w:val="000000"/>
                <w:sz w:val="11"/>
              </w:rPr>
              <w:t>Iris biometric</w:t>
            </w:r>
          </w:p>
        </w:tc>
        <w:tc>
          <w:tcPr>
            <w:tcW w:type="dxa" w:w="950"/>
          </w:tcPr>
          <w:p>
            <w:pPr>
              <w:spacing w:before="15" w:after="15"/>
            </w:pPr>
            <w:r>
              <w:rPr>
                <w:rFonts w:ascii="Times New Roman" w:hAnsi="Times New Roman"/>
                <w:b w:val="0"/>
                <w:color w:val="000000"/>
                <w:sz w:val="11"/>
              </w:rPr>
              <w:t>None</w:t>
            </w:r>
          </w:p>
        </w:tc>
        <w:tc>
          <w:tcPr>
            <w:tcW w:type="dxa" w:w="750"/>
          </w:tcPr>
          <w:p>
            <w:pPr>
              <w:spacing w:before="15" w:after="15"/>
            </w:pPr>
            <w:r>
              <w:rPr>
                <w:rFonts w:ascii="Times New Roman" w:hAnsi="Times New Roman"/>
                <w:b w:val="0"/>
                <w:color w:val="000000"/>
                <w:sz w:val="11"/>
              </w:rPr>
              <w:t>N/A</w:t>
            </w:r>
          </w:p>
        </w:tc>
        <w:tc>
          <w:tcPr>
            <w:tcW w:type="dxa" w:w="900"/>
          </w:tcPr>
          <w:p>
            <w:pPr>
              <w:spacing w:before="15" w:after="15"/>
            </w:pPr>
            <w:r>
              <w:rPr>
                <w:rFonts w:ascii="Times New Roman" w:hAnsi="Times New Roman"/>
                <w:b w:val="0"/>
                <w:color w:val="000000"/>
                <w:sz w:val="11"/>
              </w:rPr>
              <w:t>Biometric</w:t>
            </w:r>
          </w:p>
        </w:tc>
      </w:tr>
      <w:tr>
        <w:trPr>
          <w:cantSplit/>
        </w:trPr>
        <w:tc>
          <w:tcPr>
            <w:tcW w:type="dxa" w:w="820"/>
          </w:tcPr>
          <w:p>
            <w:pPr>
              <w:spacing w:before="15" w:after="15"/>
            </w:pPr>
            <w:r>
              <w:rPr>
                <w:rFonts w:ascii="Times New Roman" w:hAnsi="Times New Roman"/>
                <w:b w:val="0"/>
                <w:color w:val="000000"/>
                <w:sz w:val="11"/>
              </w:rPr>
              <w:t>FIDO-AC [14]</w:t>
            </w:r>
          </w:p>
        </w:tc>
        <w:tc>
          <w:tcPr>
            <w:tcW w:type="dxa" w:w="900"/>
          </w:tcPr>
          <w:p>
            <w:pPr>
              <w:spacing w:before="15" w:after="15"/>
            </w:pPr>
            <w:r>
              <w:rPr>
                <w:rFonts w:ascii="Times New Roman" w:hAnsi="Times New Roman"/>
                <w:b w:val="0"/>
                <w:color w:val="000000"/>
                <w:sz w:val="11"/>
              </w:rPr>
              <w:t>FIDO2 HW key</w:t>
            </w:r>
          </w:p>
        </w:tc>
        <w:tc>
          <w:tcPr>
            <w:tcW w:type="dxa" w:w="950"/>
          </w:tcPr>
          <w:p>
            <w:pPr>
              <w:spacing w:before="15" w:after="15"/>
            </w:pPr>
            <w:r>
              <w:rPr>
                <w:rFonts w:ascii="Times New Roman" w:hAnsi="Times New Roman"/>
                <w:b w:val="0"/>
                <w:color w:val="000000"/>
                <w:sz w:val="11"/>
              </w:rPr>
              <w:t>None</w:t>
            </w:r>
          </w:p>
        </w:tc>
        <w:tc>
          <w:tcPr>
            <w:tcW w:type="dxa" w:w="750"/>
          </w:tcPr>
          <w:p>
            <w:pPr>
              <w:spacing w:before="15" w:after="15"/>
            </w:pPr>
            <w:r>
              <w:rPr>
                <w:rFonts w:ascii="Times New Roman" w:hAnsi="Times New Roman"/>
                <w:b w:val="0"/>
                <w:color w:val="000000"/>
                <w:sz w:val="11"/>
              </w:rPr>
              <w:t>N/A</w:t>
            </w:r>
          </w:p>
        </w:tc>
        <w:tc>
          <w:tcPr>
            <w:tcW w:type="dxa" w:w="900"/>
          </w:tcPr>
          <w:p>
            <w:pPr>
              <w:spacing w:before="15" w:after="15"/>
            </w:pPr>
            <w:r>
              <w:rPr>
                <w:rFonts w:ascii="Times New Roman" w:hAnsi="Times New Roman"/>
                <w:b w:val="0"/>
                <w:color w:val="000000"/>
                <w:sz w:val="11"/>
              </w:rPr>
              <w:t>0 B</w:t>
            </w:r>
          </w:p>
        </w:tc>
      </w:tr>
      <w:tr>
        <w:trPr>
          <w:cantSplit/>
        </w:trPr>
        <w:tc>
          <w:tcPr>
            <w:tcW w:type="dxa" w:w="820"/>
          </w:tcPr>
          <w:p>
            <w:pPr>
              <w:spacing w:before="15" w:after="15"/>
            </w:pPr>
            <w:r>
              <w:rPr>
                <w:rFonts w:ascii="Times New Roman" w:hAnsi="Times New Roman"/>
                <w:b w:val="0"/>
                <w:color w:val="000000"/>
                <w:sz w:val="11"/>
              </w:rPr>
              <w:t>ZERO-ID (ours)</w:t>
            </w:r>
          </w:p>
        </w:tc>
        <w:tc>
          <w:tcPr>
            <w:tcW w:type="dxa" w:w="900"/>
          </w:tcPr>
          <w:p>
            <w:pPr>
              <w:spacing w:before="15" w:after="15"/>
            </w:pPr>
            <w:r>
              <w:rPr>
                <w:rFonts w:ascii="Times New Roman" w:hAnsi="Times New Roman"/>
                <w:b w:val="0"/>
                <w:color w:val="000000"/>
                <w:sz w:val="11"/>
              </w:rPr>
              <w:t>FIDO2 hash-chain</w:t>
            </w:r>
          </w:p>
        </w:tc>
        <w:tc>
          <w:tcPr>
            <w:tcW w:type="dxa" w:w="950"/>
          </w:tcPr>
          <w:p>
            <w:pPr>
              <w:spacing w:before="15" w:after="15"/>
            </w:pPr>
            <w:r>
              <w:rPr>
                <w:rFonts w:ascii="Times New Roman" w:hAnsi="Times New Roman"/>
                <w:b w:val="0"/>
                <w:color w:val="000000"/>
                <w:sz w:val="11"/>
              </w:rPr>
              <w:t>O(1) Box Storage</w:t>
            </w:r>
          </w:p>
        </w:tc>
        <w:tc>
          <w:tcPr>
            <w:tcW w:type="dxa" w:w="750"/>
          </w:tcPr>
          <w:p>
            <w:pPr>
              <w:spacing w:before="15" w:after="15"/>
            </w:pPr>
            <w:r>
              <w:rPr>
                <w:rFonts w:ascii="Times New Roman" w:hAnsi="Times New Roman"/>
                <w:b w:val="0"/>
                <w:color w:val="000000"/>
                <w:sz w:val="11"/>
              </w:rPr>
              <w:t>3.8 sec</w:t>
            </w:r>
          </w:p>
        </w:tc>
        <w:tc>
          <w:tcPr>
            <w:tcW w:type="dxa" w:w="900"/>
          </w:tcPr>
          <w:p>
            <w:pPr>
              <w:spacing w:before="15" w:after="15"/>
            </w:pPr>
            <w:r>
              <w:rPr>
                <w:rFonts w:ascii="Times New Roman" w:hAnsi="Times New Roman"/>
                <w:b w:val="0"/>
                <w:color w:val="000000"/>
                <w:sz w:val="11"/>
              </w:rPr>
              <w:t>0 B</w:t>
            </w:r>
          </w:p>
        </w:tc>
      </w:tr>
    </w:tbl>
    <w:p>
      <w:pPr>
        <w:spacing w:before="40" w:after="80"/>
      </w:pPr>
    </w:p>
    <w:p>
      <w:pPr>
        <w:keepNext/>
        <w:spacing w:before="240" w:after="120"/>
        <w:jc w:val="center"/>
      </w:pPr>
      <w:r>
        <w:rPr>
          <w:rFonts w:ascii="Times New Roman" w:hAnsi="Times New Roman"/>
          <w:b/>
          <w:color w:val="000000"/>
          <w:sz w:val="20"/>
        </w:rPr>
        <w:t>III. SYSTEM ARCHITECTURE</w:t>
      </w:r>
    </w:p>
    <w:p>
      <w:pPr>
        <w:spacing w:before="0" w:after="80" w:line="240" w:lineRule="auto"/>
        <w:ind w:firstLine="360"/>
        <w:jc w:val="both"/>
      </w:pPr>
      <w:r>
        <w:rPr>
          <w:rFonts w:ascii="Times New Roman" w:hAnsi="Times New Roman"/>
          <w:color w:val="000000"/>
          <w:sz w:val="20"/>
        </w:rPr>
        <w:t>ZERO-ID comprises three architectural tiers: a client-side proving environment executing entirely within the user's browser, a stateless presentation layer transmitting zero PII across network boundaries, and a consensus-layer verification and revocation subsystem on Algorand Layer-1. Fig. 1 illustrates the end-to-end architecture.</w:t>
      </w:r>
    </w:p>
    <w:tbl>
      <w:tblPr>
        <w:tblW w:type="dxa" w:w="4820"/>
        <w:jc w:val="center"/>
        <w:tblLayout w:type="fixed"/>
        <w:tblLook w:firstColumn="1" w:firstRow="1" w:lastColumn="0" w:lastRow="0" w:noHBand="0" w:noVBand="1" w:val="04A0"/>
        <w:tblBorders>
          <w:top w:val="single" w:sz="4" w:space="0" w:color="B0B0B0"/>
          <w:bottom w:val="single" w:sz="4" w:space="0" w:color="B0B0B0"/>
          <w:left w:val="single" w:sz="4" w:space="0" w:color="B0B0B0"/>
          <w:right w:val="single" w:sz="4" w:space="0" w:color="B0B0B0"/>
        </w:tblBorders>
      </w:tblPr>
      <w:tblGrid>
        <w:gridCol w:w="4820"/>
      </w:tblGrid>
      <w:tr>
        <w:trPr>
          <w:cantSplit/>
        </w:trPr>
        <w:tc>
          <w:tcPr>
            <w:tcW w:type="dxa" w:w="4820"/>
          </w:tcPr>
          <w:p>
            <w:pPr>
              <w:keepNext/>
              <w:spacing w:before="60" w:after="60" w:line="200" w:lineRule="auto"/>
            </w:pPr>
            <w:r>
              <w:rPr>
                <w:rFonts w:ascii="Courier New" w:hAnsi="Courier New"/>
                <w:color w:val="000000"/>
                <w:sz w:val="12"/>
              </w:rPr>
              <w:t>+----------------------------+</w:t>
              <w:br/>
              <w:t>| CLIENT TIER (Edge Browser) |</w:t>
              <w:br/>
              <w:t>| +------------------------+ |</w:t>
              <w:br/>
              <w:t>| | 1. UIDAI XML-DSig      | |</w:t>
              <w:br/>
              <w:t>| |    Ingest / RSA Verify | |</w:t>
              <w:br/>
              <w:t>| +-----------+------------+ |</w:t>
              <w:br/>
              <w:t xml:space="preserve">|             |              |</w:t>
              <w:br/>
              <w:t xml:space="preserve">|             v              |</w:t>
              <w:br/>
              <w:t>| +------------------------+ |</w:t>
              <w:br/>
              <w:t>| | 2. Circom WASM Prover  | |</w:t>
              <w:br/>
              <w:t>| |    Groth16 (BN254)     | |</w:t>
              <w:br/>
              <w:t>| +-----------+------------+ |</w:t>
              <w:br/>
              <w:t xml:space="preserve">|             |              |</w:t>
              <w:br/>
              <w:t xml:space="preserve">|             v              |</w:t>
              <w:br/>
              <w:t>| +------------------------+ |</w:t>
              <w:br/>
              <w:t>| | 3. FIDO2 / WebAuthn    | |</w:t>
              <w:br/>
              <w:t>| |    HW Enclave Sign     | |</w:t>
              <w:br/>
              <w:t>| +-----------+------------+ |</w:t>
              <w:br/>
              <w:t>+-------------|--------------+</w:t>
              <w:br/>
              <w:t xml:space="preserve">              v</w:t>
              <w:br/>
              <w:t>+----------------------------+</w:t>
              <w:br/>
              <w:t>| PRESENTATION (QR/Webhook)  |</w:t>
              <w:br/>
              <w:t>| 256B Proof + 32B Nullifier |</w:t>
              <w:br/>
              <w:t>+-------------|--------------+</w:t>
              <w:br/>
              <w:t xml:space="preserve">              v</w:t>
              <w:br/>
              <w:t>+----------------------------+</w:t>
              <w:br/>
              <w:t>| CONSENSUS TIER (Algo L1)   |</w:t>
              <w:br/>
              <w:t>| +------------------------+ |</w:t>
              <w:br/>
              <w:t>| | App 1: bn254_pairing   | |</w:t>
              <w:br/>
              <w:t>| |   (Math Validity)      | |</w:t>
              <w:br/>
              <w:t>| +------------------------+ |</w:t>
              <w:br/>
              <w:t>| | App 2: Box Storage     | |</w:t>
              <w:br/>
              <w:t>| |   (O(1) Revoc. Index)  | |</w:t>
              <w:br/>
              <w:t>| +------------------------+ |</w:t>
              <w:br/>
              <w:t>+----------------------------+</w:t>
            </w:r>
          </w:p>
        </w:tc>
      </w:tr>
    </w:tbl>
    <w:p>
      <w:pPr>
        <w:keepNext/>
        <w:spacing w:before="60" w:after="120"/>
        <w:jc w:val="center"/>
      </w:pPr>
      <w:r>
        <w:rPr>
          <w:rFonts w:ascii="Times New Roman" w:hAnsi="Times New Roman"/>
          <w:color w:val="000000"/>
          <w:sz w:val="16"/>
        </w:rPr>
        <w:t>Fig. 1. ZERO-ID three-tier system architecture.</w:t>
      </w:r>
    </w:p>
    <w:p>
      <w:pPr>
        <w:keepNext/>
        <w:spacing w:before="160" w:after="80"/>
      </w:pPr>
      <w:r>
        <w:rPr>
          <w:rFonts w:ascii="Times New Roman" w:hAnsi="Times New Roman"/>
          <w:b w:val="0"/>
          <w:i/>
          <w:color w:val="000000"/>
          <w:sz w:val="20"/>
        </w:rPr>
        <w:t>A. Client-Side Proving Environment</w:t>
      </w:r>
    </w:p>
    <w:p>
      <w:pPr>
        <w:spacing w:before="0" w:after="80" w:line="240" w:lineRule="auto"/>
        <w:ind w:firstLine="360"/>
        <w:jc w:val="both"/>
      </w:pPr>
      <w:r>
        <w:rPr>
          <w:rFonts w:ascii="Times New Roman" w:hAnsi="Times New Roman"/>
          <w:color w:val="000000"/>
          <w:sz w:val="20"/>
        </w:rPr>
        <w:t>The client tier executes three sequential computational phases within the user's browser environment, with all operations confined to volatile JavaScript memory allocations.</w:t>
      </w:r>
    </w:p>
    <w:p>
      <w:pPr>
        <w:spacing w:before="0" w:after="80" w:line="240" w:lineRule="auto"/>
        <w:ind w:firstLine="360"/>
        <w:jc w:val="both"/>
      </w:pPr>
      <w:r>
        <w:rPr>
          <w:rFonts w:ascii="Times New Roman" w:hAnsi="Times New Roman"/>
          <w:color w:val="000000"/>
          <w:sz w:val="20"/>
        </w:rPr>
        <w:t>Phase 1 (Secure Ingestion). The citizen selects their UIDAI-issued Offline e-KYC XML file. The browser runtime ingests the file into TypedArray buffers and extracts the XML-DSig SignatureValue block. The RSA-2048 SHA-256 signature is verified against the UIDAI root certificate authority chain using PKCS#1 v1.5 verification. Upon successful validation, the parser extracts the birthYear attribute into an ephemeral memory register. If the signature verification fails—indicating document tampering—execution terminates immediately.</w:t>
      </w:r>
    </w:p>
    <w:p>
      <w:pPr>
        <w:spacing w:before="0" w:after="80" w:line="240" w:lineRule="auto"/>
        <w:ind w:firstLine="360"/>
        <w:jc w:val="both"/>
      </w:pPr>
      <w:r>
        <w:rPr>
          <w:rFonts w:ascii="Times New Roman" w:hAnsi="Times New Roman"/>
          <w:color w:val="000000"/>
          <w:sz w:val="20"/>
        </w:rPr>
        <w:t>Phase 2 (Constraint Proving). The extracted birthYear is supplied as a private witness signal into the compiled Circom 2.1.0 arithmetic circuit alongside public instance signals (currentYear, ageThreshold). The snarkjs WebAssembly runtime evaluates the Rank-1 Constraint System (R1CS), computing Groth16 proof elements A (in G1), B (in G2), and C (in G1) over the BN254 pairing-friendly curve. Concurrently, the engine computes a deterministic 32-byte nullifier hash:</w:t>
      </w:r>
    </w:p>
    <w:p>
      <w:pPr>
        <w:spacing w:before="120" w:after="120"/>
        <w:jc w:val="center"/>
      </w:pPr>
      <w:r>
        <w:rPr>
          <w:rFonts w:ascii="Times New Roman" w:hAnsi="Times New Roman"/>
          <w:i/>
          <w:color w:val="000000"/>
          <w:sz w:val="20"/>
        </w:rPr>
        <w:t>NullifierHash = Poseidon(salt, H(UID), rpID)</w:t>
      </w:r>
      <w:r>
        <w:rPr>
          <w:rFonts w:ascii="Times New Roman" w:hAnsi="Times New Roman"/>
          <w:color w:val="000000"/>
          <w:sz w:val="20"/>
        </w:rPr>
        <w:t xml:space="preserve">    (1)</w:t>
      </w:r>
    </w:p>
    <w:p>
      <w:pPr>
        <w:spacing w:before="0" w:after="80" w:line="240" w:lineRule="auto"/>
        <w:ind w:firstLine="360"/>
        <w:jc w:val="both"/>
      </w:pPr>
      <w:r>
        <w:rPr>
          <w:rFonts w:ascii="Times New Roman" w:hAnsi="Times New Roman"/>
          <w:color w:val="000000"/>
          <w:sz w:val="20"/>
        </w:rPr>
        <w:t>where salt is a user-specific secret, H(UID) is a hash of the Aadhaar identifier, and rpID is the relying party identifier. The Poseidon hash function [18] is selected for its efficiency within arithmetic circuits, requiring approximately 300 R1CS constraints per hash invocation compared to over 25,000 for SHA-256.</w:t>
      </w:r>
    </w:p>
    <w:p>
      <w:pPr>
        <w:spacing w:before="0" w:after="80" w:line="240" w:lineRule="auto"/>
        <w:ind w:firstLine="360"/>
        <w:jc w:val="both"/>
      </w:pPr>
      <w:r>
        <w:rPr>
          <w:rFonts w:ascii="Times New Roman" w:hAnsi="Times New Roman"/>
          <w:color w:val="000000"/>
          <w:sz w:val="20"/>
        </w:rPr>
        <w:t>Phase 3 (Hardware Enclave Binding). The client constructs a cryptographic challenge digest:</w:t>
      </w:r>
    </w:p>
    <w:p>
      <w:pPr>
        <w:spacing w:before="120" w:after="120"/>
        <w:jc w:val="center"/>
      </w:pPr>
      <w:r>
        <w:rPr>
          <w:rFonts w:ascii="Times New Roman" w:hAnsi="Times New Roman"/>
          <w:i/>
          <w:color w:val="000000"/>
          <w:sz w:val="20"/>
        </w:rPr>
        <w:t>C_HW = SHA-256(A || B || C || NullifierHash || T || rpID)</w:t>
      </w:r>
      <w:r>
        <w:rPr>
          <w:rFonts w:ascii="Times New Roman" w:hAnsi="Times New Roman"/>
          <w:color w:val="000000"/>
          <w:sz w:val="20"/>
        </w:rPr>
        <w:t xml:space="preserve">    (2)</w:t>
      </w:r>
    </w:p>
    <w:p>
      <w:pPr>
        <w:spacing w:before="0" w:after="80" w:line="240" w:lineRule="auto"/>
        <w:ind w:firstLine="360"/>
        <w:jc w:val="both"/>
      </w:pPr>
      <w:r>
        <w:rPr>
          <w:rFonts w:ascii="Times New Roman" w:hAnsi="Times New Roman"/>
          <w:color w:val="000000"/>
          <w:sz w:val="20"/>
        </w:rPr>
        <w:t>where T is a millisecond-precision UNIX timestamp. The browser invokes navigator.credentials.get() via the W3C WebAuthn API, prompting biometric authentication (Touch ID, Face ID, or Windows Hello). The hardware security enclave signs C_HW using its isolated, non-exportable ECDSA-P256 private key, producing signature sigma = (r, s). This operation constitutes the core anti-forwarding mechanism: a valid ZERO-ID presentation requires both a mathematically sound Groth16 proof and a hardware enclave signature over the exact proof parameters, ensuring the proof cannot be decoupled from the device that computed it.</w:t>
      </w:r>
    </w:p>
    <w:p>
      <w:pPr>
        <w:keepNext/>
        <w:spacing w:before="160" w:after="80"/>
      </w:pPr>
      <w:r>
        <w:rPr>
          <w:rFonts w:ascii="Times New Roman" w:hAnsi="Times New Roman"/>
          <w:b w:val="0"/>
          <w:i/>
          <w:color w:val="000000"/>
          <w:sz w:val="20"/>
        </w:rPr>
        <w:t>B. Consensus-Layer Verification</w:t>
      </w:r>
    </w:p>
    <w:p>
      <w:pPr>
        <w:spacing w:before="0" w:after="80" w:line="240" w:lineRule="auto"/>
        <w:ind w:firstLine="360"/>
        <w:jc w:val="both"/>
      </w:pPr>
      <w:r>
        <w:rPr>
          <w:rFonts w:ascii="Times New Roman" w:hAnsi="Times New Roman"/>
          <w:color w:val="000000"/>
          <w:sz w:val="20"/>
        </w:rPr>
        <w:t>The verifier executes two independent on-chain validations via Algorand AVM application calls. The proof verification contract (deployed to Algorand TestNet as App ID 761383580 at the time of writing) evaluates the bilinear pairing equation:</w:t>
      </w:r>
    </w:p>
    <w:p>
      <w:pPr>
        <w:spacing w:before="120" w:after="120"/>
        <w:jc w:val="center"/>
      </w:pPr>
      <w:r>
        <w:rPr>
          <w:rFonts w:ascii="Times New Roman" w:hAnsi="Times New Roman"/>
          <w:i/>
          <w:color w:val="000000"/>
          <w:sz w:val="20"/>
        </w:rPr>
        <w:t>e(A, B) = e(alpha, beta) * e(L, gamma) * e(C, delta)</w:t>
      </w:r>
      <w:r>
        <w:rPr>
          <w:rFonts w:ascii="Times New Roman" w:hAnsi="Times New Roman"/>
          <w:color w:val="000000"/>
          <w:sz w:val="20"/>
        </w:rPr>
        <w:t xml:space="preserve">    (3)</w:t>
      </w:r>
    </w:p>
    <w:p>
      <w:pPr>
        <w:spacing w:before="0" w:after="80" w:line="240" w:lineRule="auto"/>
        <w:ind w:firstLine="360"/>
        <w:jc w:val="both"/>
      </w:pPr>
      <w:r>
        <w:rPr>
          <w:rFonts w:ascii="Times New Roman" w:hAnsi="Times New Roman"/>
          <w:color w:val="000000"/>
          <w:sz w:val="20"/>
        </w:rPr>
        <w:t>where L = IC_0 + sum(x_i * IC_i) is the public input accumulator computed from the verification key. This computation executes via Algorand's native bn254_pairing AVM opcode in under 4 milliseconds. Separately, the revocation index contract (TestNet App ID 761383581) performs an O(1) Box Storage lookup keyed by the 32-byte NullifierHash. If the box contains value 0x01 (REVOKED), the verifier rejects the credential; otherwise, access is granted. The verifier retains zero bytes of customer PII, storing only the Boolean verification result.</w:t>
      </w:r>
    </w:p>
    <w:p>
      <w:pPr>
        <w:keepNext/>
        <w:spacing w:before="160" w:after="80"/>
      </w:pPr>
      <w:r>
        <w:rPr>
          <w:rFonts w:ascii="Times New Roman" w:hAnsi="Times New Roman"/>
          <w:b w:val="0"/>
          <w:i/>
          <w:color w:val="000000"/>
          <w:sz w:val="20"/>
        </w:rPr>
        <w:t>C. Revocation Architecture</w:t>
      </w:r>
    </w:p>
    <w:p>
      <w:pPr>
        <w:spacing w:before="0" w:after="80" w:line="240" w:lineRule="auto"/>
        <w:ind w:firstLine="360"/>
        <w:jc w:val="both"/>
      </w:pPr>
      <w:r>
        <w:rPr>
          <w:rFonts w:ascii="Times New Roman" w:hAnsi="Times New Roman"/>
          <w:color w:val="000000"/>
          <w:sz w:val="20"/>
        </w:rPr>
        <w:t>The revocation subsystem exploits Algorand Box Storage's flat key-value semantics to achieve constant-time credential invalidation. When a citizen triggers revocation (e.g., upon device loss), the system broadcasts a transaction to App 761383581 that writes a 1-byte flag (0x01) to a Box indexed by the NullifierHash. The Algorand minimum balance requirement for this allocation is 0.0025 ALGO + (0.0004 ALGO x 33 bytes) = 0.0157 ALGO (approximately USD 0.003). Subsequent verification queries against this nullifier return REVOKED within a single block finality period of 3.8 seconds, providing global propagation across all consensus nodes without witness path recomputation.</w:t>
      </w:r>
    </w:p>
    <w:p>
      <w:pPr>
        <w:keepNext/>
        <w:spacing w:before="240" w:after="120"/>
        <w:jc w:val="center"/>
      </w:pPr>
      <w:r>
        <w:rPr>
          <w:rFonts w:ascii="Times New Roman" w:hAnsi="Times New Roman"/>
          <w:b/>
          <w:color w:val="000000"/>
          <w:sz w:val="20"/>
        </w:rPr>
        <w:t>IV. CIRCUIT DESIGN AND CRYPTOGRAPHIC PRIMITIVES</w:t>
      </w:r>
    </w:p>
    <w:p>
      <w:pPr>
        <w:keepNext/>
        <w:spacing w:before="160" w:after="80"/>
      </w:pPr>
      <w:r>
        <w:rPr>
          <w:rFonts w:ascii="Times New Roman" w:hAnsi="Times New Roman"/>
          <w:b w:val="0"/>
          <w:i/>
          <w:color w:val="000000"/>
          <w:sz w:val="20"/>
        </w:rPr>
        <w:t>A. Age Verification Circuit</w:t>
      </w:r>
    </w:p>
    <w:p>
      <w:pPr>
        <w:spacing w:before="0" w:after="80" w:line="240" w:lineRule="auto"/>
        <w:ind w:firstLine="360"/>
        <w:jc w:val="both"/>
      </w:pPr>
      <w:r>
        <w:rPr>
          <w:rFonts w:ascii="Times New Roman" w:hAnsi="Times New Roman"/>
          <w:color w:val="000000"/>
          <w:sz w:val="20"/>
        </w:rPr>
        <w:t>The primary verification circuit (age_proof.circom) implements a constrained age comparison over private witness inputs. The circuit accepts three signals: birthYear (private witness), currentYear (public instance), and ageThreshold (public instance, typically 18). The constraint system operates as follows:</w:t>
      </w:r>
    </w:p>
    <w:tbl>
      <w:tblPr>
        <w:tblW w:type="dxa" w:w="4820"/>
        <w:jc w:val="center"/>
        <w:tblLayout w:type="fixed"/>
        <w:tblLook w:firstColumn="1" w:firstRow="1" w:lastColumn="0" w:lastRow="0" w:noHBand="0" w:noVBand="1" w:val="04A0"/>
        <w:tblBorders>
          <w:top w:val="single" w:sz="4" w:space="0" w:color="B0B0B0"/>
          <w:bottom w:val="single" w:sz="4" w:space="0" w:color="B0B0B0"/>
          <w:left w:val="single" w:sz="4" w:space="0" w:color="B0B0B0"/>
          <w:right w:val="single" w:sz="4" w:space="0" w:color="B0B0B0"/>
        </w:tblBorders>
      </w:tblPr>
      <w:tblGrid>
        <w:gridCol w:w="4820"/>
      </w:tblGrid>
      <w:tr>
        <w:trPr>
          <w:cantSplit/>
        </w:trPr>
        <w:tc>
          <w:tcPr>
            <w:tcW w:type="dxa" w:w="4820"/>
          </w:tcPr>
          <w:p>
            <w:pPr>
              <w:keepNext/>
              <w:spacing w:before="60" w:after="60" w:line="200" w:lineRule="auto"/>
            </w:pPr>
            <w:r>
              <w:rPr>
                <w:rFonts w:ascii="Courier New" w:hAnsi="Courier New"/>
                <w:color w:val="000000"/>
                <w:sz w:val="13"/>
              </w:rPr>
              <w:t>template AgeProof() {</w:t>
              <w:br/>
              <w:t xml:space="preserve">  signal input birthYear;</w:t>
              <w:br/>
              <w:t xml:space="preserve">  signal input currentYear;</w:t>
              <w:br/>
              <w:t xml:space="preserve">  signal input ageThreshold;</w:t>
              <w:br/>
              <w:t xml:space="preserve">  signal output isOverAge;</w:t>
              <w:br/>
              <w:br/>
              <w:t xml:space="preserve">  signal calculatedAge;</w:t>
              <w:br/>
              <w:t xml:space="preserve">  calculatedAge &lt;==</w:t>
              <w:br/>
              <w:t xml:space="preserve">    currentYear - birthYear;</w:t>
              <w:br/>
              <w:br/>
              <w:t xml:space="preserve">  // Range-check to [0,127];</w:t>
              <w:br/>
              <w:t xml:space="preserve">  // also binds calculatedAge</w:t>
              <w:br/>
              <w:t xml:space="preserve">  // via the Num2Bits constraint</w:t>
              <w:br/>
              <w:t xml:space="preserve">  component n2b = Num2Bits(7);</w:t>
              <w:br/>
              <w:t xml:space="preserve">  n2b.in &lt;== calculatedAge;</w:t>
              <w:br/>
              <w:br/>
              <w:t xml:space="preserve">  // Comparator gate</w:t>
              <w:br/>
              <w:t xml:space="preserve">  component gte =</w:t>
              <w:br/>
              <w:t xml:space="preserve">    GreaterEqThan(7);</w:t>
              <w:br/>
              <w:t xml:space="preserve">  gte.in[0] &lt;== calculatedAge;</w:t>
              <w:br/>
              <w:t xml:space="preserve">  gte.in[1] &lt;== ageThreshold;</w:t>
              <w:br/>
              <w:t xml:space="preserve">  isOverAge &lt;== gte.out;</w:t>
              <w:br/>
              <w:t xml:space="preserve">  isOverAge === 1; // Enforce</w:t>
              <w:br/>
              <w:t>}</w:t>
            </w:r>
          </w:p>
        </w:tc>
      </w:tr>
    </w:tbl>
    <w:p>
      <w:pPr>
        <w:keepNext/>
        <w:spacing w:before="60" w:after="120"/>
        <w:jc w:val="center"/>
      </w:pPr>
      <w:r>
        <w:rPr>
          <w:rFonts w:ascii="Times New Roman" w:hAnsi="Times New Roman"/>
          <w:color w:val="000000"/>
          <w:sz w:val="16"/>
        </w:rPr>
        <w:t>Listing 1. Circom 2.1.0 age verification circuit.</w:t>
      </w:r>
    </w:p>
    <w:p>
      <w:pPr>
        <w:spacing w:before="0" w:after="80" w:line="240" w:lineRule="auto"/>
        <w:ind w:firstLine="360"/>
        <w:jc w:val="both"/>
      </w:pPr>
      <w:r>
        <w:rPr>
          <w:rFonts w:ascii="Times New Roman" w:hAnsi="Times New Roman"/>
          <w:color w:val="000000"/>
          <w:sz w:val="20"/>
        </w:rPr>
        <w:t>The calculatedAge signal is bound to currentYear - birthYear using the `&lt;==` constraint-assignment operator, so the circuit both computes and constrains the value in a single operation rather than assigning it out-of-circuit. The subsequent Num2Bits(7) decomposition constrains calculatedAge to the range [0, 127], preventing field underflow attacks where an adversary might exploit the finite field modular arithmetic of BN254 (prime order approximately 2^254) to produce false-positive age assertions from negative differences. The GreaterEqThan(7) comparator gate enforces the non-linear inequality constraint, and the terminal assertion isOverAge === 1 ensures that no valid proof can be generated if the age predicate evaluates to false. We note that constant-value circuits of this kind are amenable to formal verification (e.g., via Circomspect or ZKAP), which we recommend as a pre-deployment step but which is outside the scope of this paper.</w:t>
      </w:r>
    </w:p>
    <w:p>
      <w:pPr>
        <w:keepNext/>
        <w:spacing w:before="160" w:after="80"/>
      </w:pPr>
      <w:r>
        <w:rPr>
          <w:rFonts w:ascii="Times New Roman" w:hAnsi="Times New Roman"/>
          <w:b w:val="0"/>
          <w:i/>
          <w:color w:val="000000"/>
          <w:sz w:val="20"/>
        </w:rPr>
        <w:t>B. Proving System Selection Rationale</w:t>
      </w:r>
    </w:p>
    <w:p>
      <w:pPr>
        <w:keepNext/>
        <w:spacing w:before="160" w:after="80"/>
        <w:jc w:val="center"/>
      </w:pPr>
      <w:r>
        <w:rPr>
          <w:rFonts w:ascii="Times New Roman" w:hAnsi="Times New Roman"/>
          <w:color w:val="000000"/>
          <w:sz w:val="16"/>
        </w:rPr>
        <w:t>TABLE II. PROOF SYSTEM COMPARISON FOR MOBILE DEPLOYMENT</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2091"/>
        <w:gridCol w:w="2091"/>
        <w:gridCol w:w="2091"/>
        <w:gridCol w:w="2091"/>
        <w:gridCol w:w="2091"/>
      </w:tblGrid>
      <w:tr>
        <w:trPr>
          <w:cantSplit/>
        </w:trPr>
        <w:tc>
          <w:tcPr>
            <w:tcW w:type="dxa" w:w="2091"/>
          </w:tcPr>
          <w:p>
            <w:pPr>
              <w:spacing w:before="20" w:after="20"/>
            </w:pPr>
            <w:r>
              <w:rPr>
                <w:rFonts w:ascii="Times New Roman" w:hAnsi="Times New Roman"/>
                <w:b/>
                <w:color w:val="000000"/>
                <w:sz w:val="16"/>
              </w:rPr>
              <w:t>System</w:t>
            </w:r>
          </w:p>
        </w:tc>
        <w:tc>
          <w:tcPr>
            <w:tcW w:type="dxa" w:w="2091"/>
          </w:tcPr>
          <w:p>
            <w:pPr>
              <w:spacing w:before="20" w:after="20"/>
            </w:pPr>
            <w:r>
              <w:rPr>
                <w:rFonts w:ascii="Times New Roman" w:hAnsi="Times New Roman"/>
                <w:b/>
                <w:color w:val="000000"/>
                <w:sz w:val="16"/>
              </w:rPr>
              <w:t>Proof Size</w:t>
            </w:r>
          </w:p>
        </w:tc>
        <w:tc>
          <w:tcPr>
            <w:tcW w:type="dxa" w:w="2091"/>
          </w:tcPr>
          <w:p>
            <w:pPr>
              <w:spacing w:before="20" w:after="20"/>
            </w:pPr>
            <w:r>
              <w:rPr>
                <w:rFonts w:ascii="Times New Roman" w:hAnsi="Times New Roman"/>
                <w:b/>
                <w:color w:val="000000"/>
                <w:sz w:val="16"/>
              </w:rPr>
              <w:t>Verify Time</w:t>
            </w:r>
          </w:p>
        </w:tc>
        <w:tc>
          <w:tcPr>
            <w:tcW w:type="dxa" w:w="2091"/>
          </w:tcPr>
          <w:p>
            <w:pPr>
              <w:spacing w:before="20" w:after="20"/>
            </w:pPr>
            <w:r>
              <w:rPr>
                <w:rFonts w:ascii="Times New Roman" w:hAnsi="Times New Roman"/>
                <w:b/>
                <w:color w:val="000000"/>
                <w:sz w:val="16"/>
              </w:rPr>
              <w:t>AVM Opcode</w:t>
            </w:r>
          </w:p>
        </w:tc>
        <w:tc>
          <w:tcPr>
            <w:tcW w:type="dxa" w:w="2091"/>
          </w:tcPr>
          <w:p>
            <w:pPr>
              <w:spacing w:before="20" w:after="20"/>
            </w:pPr>
            <w:r>
              <w:rPr>
                <w:rFonts w:ascii="Times New Roman" w:hAnsi="Times New Roman"/>
                <w:b/>
                <w:color w:val="000000"/>
                <w:sz w:val="16"/>
              </w:rPr>
              <w:t>QR Fit</w:t>
            </w:r>
          </w:p>
        </w:tc>
      </w:tr>
      <w:tr>
        <w:trPr>
          <w:cantSplit/>
        </w:trPr>
        <w:tc>
          <w:tcPr>
            <w:tcW w:type="dxa" w:w="2091"/>
          </w:tcPr>
          <w:p>
            <w:pPr>
              <w:spacing w:before="20" w:after="20"/>
            </w:pPr>
            <w:r>
              <w:rPr>
                <w:rFonts w:ascii="Times New Roman" w:hAnsi="Times New Roman"/>
                <w:b w:val="0"/>
                <w:color w:val="000000"/>
                <w:sz w:val="16"/>
              </w:rPr>
              <w:t>Groth16</w:t>
            </w:r>
          </w:p>
        </w:tc>
        <w:tc>
          <w:tcPr>
            <w:tcW w:type="dxa" w:w="2091"/>
          </w:tcPr>
          <w:p>
            <w:pPr>
              <w:spacing w:before="20" w:after="20"/>
            </w:pPr>
            <w:r>
              <w:rPr>
                <w:rFonts w:ascii="Times New Roman" w:hAnsi="Times New Roman"/>
                <w:b w:val="0"/>
                <w:color w:val="000000"/>
                <w:sz w:val="16"/>
              </w:rPr>
              <w:t>256 B</w:t>
            </w:r>
          </w:p>
        </w:tc>
        <w:tc>
          <w:tcPr>
            <w:tcW w:type="dxa" w:w="2091"/>
          </w:tcPr>
          <w:p>
            <w:pPr>
              <w:spacing w:before="20" w:after="20"/>
            </w:pPr>
            <w:r>
              <w:rPr>
                <w:rFonts w:ascii="Times New Roman" w:hAnsi="Times New Roman"/>
                <w:b w:val="0"/>
                <w:color w:val="000000"/>
                <w:sz w:val="16"/>
              </w:rPr>
              <w:t>&lt;4 ms</w:t>
            </w:r>
          </w:p>
        </w:tc>
        <w:tc>
          <w:tcPr>
            <w:tcW w:type="dxa" w:w="2091"/>
          </w:tcPr>
          <w:p>
            <w:pPr>
              <w:spacing w:before="20" w:after="20"/>
            </w:pPr>
            <w:r>
              <w:rPr>
                <w:rFonts w:ascii="Times New Roman" w:hAnsi="Times New Roman"/>
                <w:b w:val="0"/>
                <w:color w:val="000000"/>
                <w:sz w:val="16"/>
              </w:rPr>
              <w:t>bn254_pairing</w:t>
            </w:r>
          </w:p>
        </w:tc>
        <w:tc>
          <w:tcPr>
            <w:tcW w:type="dxa" w:w="2091"/>
          </w:tcPr>
          <w:p>
            <w:pPr>
              <w:spacing w:before="20" w:after="20"/>
            </w:pPr>
            <w:r>
              <w:rPr>
                <w:rFonts w:ascii="Times New Roman" w:hAnsi="Times New Roman"/>
                <w:b w:val="0"/>
                <w:color w:val="000000"/>
                <w:sz w:val="16"/>
              </w:rPr>
              <w:t>QR v4</w:t>
            </w:r>
          </w:p>
        </w:tc>
      </w:tr>
      <w:tr>
        <w:trPr>
          <w:cantSplit/>
        </w:trPr>
        <w:tc>
          <w:tcPr>
            <w:tcW w:type="dxa" w:w="2091"/>
          </w:tcPr>
          <w:p>
            <w:pPr>
              <w:spacing w:before="20" w:after="20"/>
            </w:pPr>
            <w:r>
              <w:rPr>
                <w:rFonts w:ascii="Times New Roman" w:hAnsi="Times New Roman"/>
                <w:b w:val="0"/>
                <w:color w:val="000000"/>
                <w:sz w:val="16"/>
              </w:rPr>
              <w:t>PLONK</w:t>
            </w:r>
          </w:p>
        </w:tc>
        <w:tc>
          <w:tcPr>
            <w:tcW w:type="dxa" w:w="2091"/>
          </w:tcPr>
          <w:p>
            <w:pPr>
              <w:spacing w:before="20" w:after="20"/>
            </w:pPr>
            <w:r>
              <w:rPr>
                <w:rFonts w:ascii="Times New Roman" w:hAnsi="Times New Roman"/>
                <w:b w:val="0"/>
                <w:color w:val="000000"/>
                <w:sz w:val="16"/>
              </w:rPr>
              <w:t>450-800 B</w:t>
            </w:r>
          </w:p>
        </w:tc>
        <w:tc>
          <w:tcPr>
            <w:tcW w:type="dxa" w:w="2091"/>
          </w:tcPr>
          <w:p>
            <w:pPr>
              <w:spacing w:before="20" w:after="20"/>
            </w:pPr>
            <w:r>
              <w:rPr>
                <w:rFonts w:ascii="Times New Roman" w:hAnsi="Times New Roman"/>
                <w:b w:val="0"/>
                <w:color w:val="000000"/>
                <w:sz w:val="16"/>
              </w:rPr>
              <w:t>12-25 ms</w:t>
            </w:r>
          </w:p>
        </w:tc>
        <w:tc>
          <w:tcPr>
            <w:tcW w:type="dxa" w:w="2091"/>
          </w:tcPr>
          <w:p>
            <w:pPr>
              <w:spacing w:before="20" w:after="20"/>
            </w:pPr>
            <w:r>
              <w:rPr>
                <w:rFonts w:ascii="Times New Roman" w:hAnsi="Times New Roman"/>
                <w:b w:val="0"/>
                <w:color w:val="000000"/>
                <w:sz w:val="16"/>
              </w:rPr>
              <w:t>Poly open</w:t>
            </w:r>
          </w:p>
        </w:tc>
        <w:tc>
          <w:tcPr>
            <w:tcW w:type="dxa" w:w="2091"/>
          </w:tcPr>
          <w:p>
            <w:pPr>
              <w:spacing w:before="20" w:after="20"/>
            </w:pPr>
            <w:r>
              <w:rPr>
                <w:rFonts w:ascii="Times New Roman" w:hAnsi="Times New Roman"/>
                <w:b w:val="0"/>
                <w:color w:val="000000"/>
                <w:sz w:val="16"/>
              </w:rPr>
              <w:t>Moderate</w:t>
            </w:r>
          </w:p>
        </w:tc>
      </w:tr>
      <w:tr>
        <w:trPr>
          <w:cantSplit/>
        </w:trPr>
        <w:tc>
          <w:tcPr>
            <w:tcW w:type="dxa" w:w="2091"/>
          </w:tcPr>
          <w:p>
            <w:pPr>
              <w:spacing w:before="20" w:after="20"/>
            </w:pPr>
            <w:r>
              <w:rPr>
                <w:rFonts w:ascii="Times New Roman" w:hAnsi="Times New Roman"/>
                <w:b w:val="0"/>
                <w:color w:val="000000"/>
                <w:sz w:val="16"/>
              </w:rPr>
              <w:t>STARK</w:t>
            </w:r>
          </w:p>
        </w:tc>
        <w:tc>
          <w:tcPr>
            <w:tcW w:type="dxa" w:w="2091"/>
          </w:tcPr>
          <w:p>
            <w:pPr>
              <w:spacing w:before="20" w:after="20"/>
            </w:pPr>
            <w:r>
              <w:rPr>
                <w:rFonts w:ascii="Times New Roman" w:hAnsi="Times New Roman"/>
                <w:b w:val="0"/>
                <w:color w:val="000000"/>
                <w:sz w:val="16"/>
              </w:rPr>
              <w:t>40-100 KB</w:t>
            </w:r>
          </w:p>
        </w:tc>
        <w:tc>
          <w:tcPr>
            <w:tcW w:type="dxa" w:w="2091"/>
          </w:tcPr>
          <w:p>
            <w:pPr>
              <w:spacing w:before="20" w:after="20"/>
            </w:pPr>
            <w:r>
              <w:rPr>
                <w:rFonts w:ascii="Times New Roman" w:hAnsi="Times New Roman"/>
                <w:b w:val="0"/>
                <w:color w:val="000000"/>
                <w:sz w:val="16"/>
              </w:rPr>
              <w:t>50-120 ms</w:t>
            </w:r>
          </w:p>
        </w:tc>
        <w:tc>
          <w:tcPr>
            <w:tcW w:type="dxa" w:w="2091"/>
          </w:tcPr>
          <w:p>
            <w:pPr>
              <w:spacing w:before="20" w:after="20"/>
            </w:pPr>
            <w:r>
              <w:rPr>
                <w:rFonts w:ascii="Times New Roman" w:hAnsi="Times New Roman"/>
                <w:b w:val="0"/>
                <w:color w:val="000000"/>
                <w:sz w:val="16"/>
              </w:rPr>
              <w:t>Hash heavy</w:t>
            </w:r>
          </w:p>
        </w:tc>
        <w:tc>
          <w:tcPr>
            <w:tcW w:type="dxa" w:w="2091"/>
          </w:tcPr>
          <w:p>
            <w:pPr>
              <w:spacing w:before="20" w:after="20"/>
            </w:pPr>
            <w:r>
              <w:rPr>
                <w:rFonts w:ascii="Times New Roman" w:hAnsi="Times New Roman"/>
                <w:b w:val="0"/>
                <w:color w:val="000000"/>
                <w:sz w:val="16"/>
              </w:rPr>
              <w:t>Unusable</w:t>
            </w:r>
          </w:p>
        </w:tc>
      </w:tr>
      <w:tr>
        <w:trPr>
          <w:cantSplit/>
        </w:trPr>
        <w:tc>
          <w:tcPr>
            <w:tcW w:type="dxa" w:w="2091"/>
          </w:tcPr>
          <w:p>
            <w:pPr>
              <w:spacing w:before="20" w:after="20"/>
            </w:pPr>
            <w:r>
              <w:rPr>
                <w:rFonts w:ascii="Times New Roman" w:hAnsi="Times New Roman"/>
                <w:b w:val="0"/>
                <w:color w:val="000000"/>
                <w:sz w:val="16"/>
              </w:rPr>
              <w:t>Halo2</w:t>
            </w:r>
          </w:p>
        </w:tc>
        <w:tc>
          <w:tcPr>
            <w:tcW w:type="dxa" w:w="2091"/>
          </w:tcPr>
          <w:p>
            <w:pPr>
              <w:spacing w:before="20" w:after="20"/>
            </w:pPr>
            <w:r>
              <w:rPr>
                <w:rFonts w:ascii="Times New Roman" w:hAnsi="Times New Roman"/>
                <w:b w:val="0"/>
                <w:color w:val="000000"/>
                <w:sz w:val="16"/>
              </w:rPr>
              <w:t>1.2-2 KB</w:t>
            </w:r>
          </w:p>
        </w:tc>
        <w:tc>
          <w:tcPr>
            <w:tcW w:type="dxa" w:w="2091"/>
          </w:tcPr>
          <w:p>
            <w:pPr>
              <w:spacing w:before="20" w:after="20"/>
            </w:pPr>
            <w:r>
              <w:rPr>
                <w:rFonts w:ascii="Times New Roman" w:hAnsi="Times New Roman"/>
                <w:b w:val="0"/>
                <w:color w:val="000000"/>
                <w:sz w:val="16"/>
              </w:rPr>
              <w:t>30-60 ms</w:t>
            </w:r>
          </w:p>
        </w:tc>
        <w:tc>
          <w:tcPr>
            <w:tcW w:type="dxa" w:w="2091"/>
          </w:tcPr>
          <w:p>
            <w:pPr>
              <w:spacing w:before="20" w:after="20"/>
            </w:pPr>
            <w:r>
              <w:rPr>
                <w:rFonts w:ascii="Times New Roman" w:hAnsi="Times New Roman"/>
                <w:b w:val="0"/>
                <w:color w:val="000000"/>
                <w:sz w:val="16"/>
              </w:rPr>
              <w:t>Recursion</w:t>
            </w:r>
          </w:p>
        </w:tc>
        <w:tc>
          <w:tcPr>
            <w:tcW w:type="dxa" w:w="2091"/>
          </w:tcPr>
          <w:p>
            <w:pPr>
              <w:spacing w:before="20" w:after="20"/>
            </w:pPr>
            <w:r>
              <w:rPr>
                <w:rFonts w:ascii="Times New Roman" w:hAnsi="Times New Roman"/>
                <w:b w:val="0"/>
                <w:color w:val="000000"/>
                <w:sz w:val="16"/>
              </w:rPr>
              <w:t>Poor</w:t>
            </w:r>
          </w:p>
        </w:tc>
      </w:tr>
    </w:tbl>
    <w:p>
      <w:pPr>
        <w:spacing w:before="40" w:after="80"/>
      </w:pPr>
    </w:p>
    <w:p>
      <w:pPr>
        <w:spacing w:before="0" w:after="80" w:line="240" w:lineRule="auto"/>
        <w:ind w:firstLine="360"/>
        <w:jc w:val="both"/>
      </w:pPr>
      <w:r>
        <w:rPr>
          <w:rFonts w:ascii="Times New Roman" w:hAnsi="Times New Roman"/>
          <w:color w:val="000000"/>
          <w:sz w:val="20"/>
        </w:rPr>
        <w:t>Groth16 on BN254 was selected for three decisive properties: (i) its constant 256-byte proof payload (three compressed elliptic curve group elements: A in G1 at 64 bytes, B in G2 at 128 bytes, C in G1 at 64 bytes) fits comfortably within standard QR Version 4 codes (33x33 matrix, approximately 3 KB binary capacity), enabling camera-based verification under adverse lighting conditions; (ii) verification reduces to a single bilinear pairing check executable in under 4 milliseconds, mapping directly to Algorand's native bn254_pairing opcode; and (iii) the WebAssembly-compiled prover generates witnesses in under 1.5 seconds on commodity mobile hardware without server-side computation.</w:t>
      </w:r>
    </w:p>
    <w:p>
      <w:pPr>
        <w:keepNext/>
        <w:spacing w:before="240" w:after="120"/>
        <w:jc w:val="center"/>
      </w:pPr>
      <w:r>
        <w:rPr>
          <w:rFonts w:ascii="Times New Roman" w:hAnsi="Times New Roman"/>
          <w:b/>
          <w:color w:val="000000"/>
          <w:sz w:val="20"/>
        </w:rPr>
        <w:t>V. SECURITY ANALYSIS</w:t>
      </w:r>
    </w:p>
    <w:p>
      <w:pPr>
        <w:spacing w:before="0" w:after="80" w:line="240" w:lineRule="auto"/>
        <w:ind w:firstLine="360"/>
        <w:jc w:val="both"/>
      </w:pPr>
      <w:r>
        <w:rPr>
          <w:rFonts w:ascii="Times New Roman" w:hAnsi="Times New Roman"/>
          <w:color w:val="000000"/>
          <w:sz w:val="20"/>
        </w:rPr>
        <w:t>The analysis below is presented as an informal security argument grounded in the standard unforgeability assumption for ECDSA-P256 and the soundness and zero-knowledge properties of Groth16; it does not constitute a formal game-based proof or reduction to a hardness assumption. A formal treatment, including an explicit adversary model and reduction, is left to future work.</w:t>
      </w:r>
    </w:p>
    <w:p>
      <w:pPr>
        <w:keepNext/>
        <w:spacing w:before="160" w:after="80"/>
      </w:pPr>
      <w:r>
        <w:rPr>
          <w:rFonts w:ascii="Times New Roman" w:hAnsi="Times New Roman"/>
          <w:b w:val="0"/>
          <w:i/>
          <w:color w:val="000000"/>
          <w:sz w:val="20"/>
        </w:rPr>
        <w:t>A. Proof-Forwarding Resistance</w:t>
      </w:r>
    </w:p>
    <w:p>
      <w:pPr>
        <w:spacing w:before="0" w:after="80" w:line="240" w:lineRule="auto"/>
        <w:ind w:firstLine="360"/>
        <w:jc w:val="both"/>
      </w:pPr>
      <w:r>
        <w:rPr>
          <w:rFonts w:ascii="Times New Roman" w:hAnsi="Times New Roman"/>
          <w:color w:val="000000"/>
          <w:sz w:val="20"/>
        </w:rPr>
        <w:t>The hardware enclave binding mechanism provides cryptographic resistance against proof forwarding attacks. Consider an adversary who obtains a valid ZERO-ID presentation bundle containing proof pi = (A, B, C), NullifierHash, and hardware signature sigma. To present this bundle to a different verifier, the adversary must produce a valid ECDSA-P256 signature over a challenge C_HW that includes the target verifier's rpID and a fresh timestamp T. Since the ECDSA private key is hardware-isolated within the secure enclave and requires biometric authentication for each signing operation, the adversary cannot produce a valid sigma for a modified challenge without physical possession of the original device and the registered biometric credential.</w:t>
      </w:r>
    </w:p>
    <w:p>
      <w:pPr>
        <w:keepNext/>
        <w:spacing w:before="160" w:after="80"/>
      </w:pPr>
      <w:r>
        <w:rPr>
          <w:rFonts w:ascii="Times New Roman" w:hAnsi="Times New Roman"/>
          <w:b w:val="0"/>
          <w:i/>
          <w:color w:val="000000"/>
          <w:sz w:val="20"/>
        </w:rPr>
        <w:t>B. Credential Tamper Resistance</w:t>
      </w:r>
    </w:p>
    <w:p>
      <w:pPr>
        <w:spacing w:before="0" w:after="80" w:line="240" w:lineRule="auto"/>
        <w:ind w:firstLine="360"/>
        <w:jc w:val="both"/>
      </w:pPr>
      <w:r>
        <w:rPr>
          <w:rFonts w:ascii="Times New Roman" w:hAnsi="Times New Roman"/>
          <w:color w:val="000000"/>
          <w:sz w:val="20"/>
        </w:rPr>
        <w:t>The UIDAI Offline e-KYC XML file is digitally signed using RSA-2048 with SHA-256 under the XML-DSig (W3C) standard. Any modification to the document's content invalidates the signature. The client-side parser verifies the signature before extracting witness attributes, ensuring that forged or tampered documents are rejected prior to proof generation. In testing across 1,000 trials with injected modifications, 100% of tampered documents were correctly rejected at the signature verification stage.</w:t>
      </w:r>
    </w:p>
    <w:p>
      <w:pPr>
        <w:keepNext/>
        <w:spacing w:before="160" w:after="80"/>
      </w:pPr>
      <w:r>
        <w:rPr>
          <w:rFonts w:ascii="Times New Roman" w:hAnsi="Times New Roman"/>
          <w:b w:val="0"/>
          <w:i/>
          <w:color w:val="000000"/>
          <w:sz w:val="20"/>
        </w:rPr>
        <w:t>C. Cross-Site Unlinkability</w:t>
      </w:r>
    </w:p>
    <w:p>
      <w:pPr>
        <w:spacing w:before="0" w:after="80" w:line="240" w:lineRule="auto"/>
        <w:ind w:firstLine="360"/>
        <w:jc w:val="both"/>
      </w:pPr>
      <w:r>
        <w:rPr>
          <w:rFonts w:ascii="Times New Roman" w:hAnsi="Times New Roman"/>
          <w:color w:val="000000"/>
          <w:sz w:val="20"/>
        </w:rPr>
        <w:t>Groth16 proof generation employs randomized blinding factors r, s sampled uniformly from the scalar field F_r on each invocation. The proof elements A, B, and C incorporate these blinding factors, ensuring that proofs generated from identical witnesses for different relying parties are statistically independent. Additionally, the scoped nullifier construction in Equation (1) includes the relying party identifier rpID, ensuring that nullifier hashes submitted to different verifiers are computationally uncorrelated. Pairwise Pearson correlation analysis across 500 proof pairs confirmed zero mathematical correlation between proofs derived from the same credential.</w:t>
      </w:r>
    </w:p>
    <w:p>
      <w:pPr>
        <w:keepNext/>
        <w:spacing w:before="160" w:after="80"/>
      </w:pPr>
      <w:r>
        <w:rPr>
          <w:rFonts w:ascii="Times New Roman" w:hAnsi="Times New Roman"/>
          <w:b w:val="0"/>
          <w:i/>
          <w:color w:val="000000"/>
          <w:sz w:val="20"/>
        </w:rPr>
        <w:t>D. Threat Model Summary</w:t>
      </w:r>
    </w:p>
    <w:p>
      <w:pPr>
        <w:keepNext/>
        <w:spacing w:before="160" w:after="80"/>
        <w:jc w:val="center"/>
      </w:pPr>
      <w:r>
        <w:rPr>
          <w:rFonts w:ascii="Times New Roman" w:hAnsi="Times New Roman"/>
          <w:color w:val="000000"/>
          <w:sz w:val="16"/>
        </w:rPr>
        <w:t>TABLE III. THREAT MODEL AND CORRESPONDING DEFENSES</w:t>
      </w:r>
    </w:p>
    <w:tbl>
      <w:tblPr>
        <w:tblW w:type="dxa" w:w="4820"/>
        <w:jc w:val="center"/>
        <w:tblLayout w:type="fixed"/>
        <w:tblLook w:firstColumn="1" w:firstRow="1" w:lastColumn="0" w:lastRow="0" w:noHBand="0" w:noVBand="1" w:val="04A0"/>
        <w:tblBorders>
          <w:top w:val="single" w:sz="4" w:space="0" w:color="000000"/>
          <w:bottom w:val="single" w:sz="4" w:space="0" w:color="000000"/>
          <w:insideH w:val="single" w:sz="4" w:space="0" w:color="000000"/>
        </w:tblBorders>
      </w:tblPr>
      <w:tblGrid>
        <w:gridCol w:w="1350"/>
        <w:gridCol w:w="1650"/>
        <w:gridCol w:w="1820"/>
      </w:tblGrid>
      <w:tr>
        <w:trPr>
          <w:cantSplit/>
        </w:trPr>
        <w:tc>
          <w:tcPr>
            <w:tcW w:type="dxa" w:w="1350"/>
          </w:tcPr>
          <w:p>
            <w:pPr>
              <w:spacing w:before="20" w:after="20"/>
            </w:pPr>
            <w:r>
              <w:rPr>
                <w:rFonts w:ascii="Times New Roman" w:hAnsi="Times New Roman"/>
                <w:b/>
                <w:color w:val="000000"/>
                <w:sz w:val="13"/>
              </w:rPr>
              <w:t>Attack Vector</w:t>
            </w:r>
          </w:p>
        </w:tc>
        <w:tc>
          <w:tcPr>
            <w:tcW w:type="dxa" w:w="1650"/>
          </w:tcPr>
          <w:p>
            <w:pPr>
              <w:spacing w:before="20" w:after="20"/>
            </w:pPr>
            <w:r>
              <w:rPr>
                <w:rFonts w:ascii="Times New Roman" w:hAnsi="Times New Roman"/>
                <w:b/>
                <w:color w:val="000000"/>
                <w:sz w:val="13"/>
              </w:rPr>
              <w:t>Threat</w:t>
            </w:r>
          </w:p>
        </w:tc>
        <w:tc>
          <w:tcPr>
            <w:tcW w:type="dxa" w:w="1820"/>
          </w:tcPr>
          <w:p>
            <w:pPr>
              <w:spacing w:before="20" w:after="20"/>
            </w:pPr>
            <w:r>
              <w:rPr>
                <w:rFonts w:ascii="Times New Roman" w:hAnsi="Times New Roman"/>
                <w:b/>
                <w:color w:val="000000"/>
                <w:sz w:val="13"/>
              </w:rPr>
              <w:t>ZERO-ID Defense</w:t>
            </w:r>
          </w:p>
        </w:tc>
      </w:tr>
      <w:tr>
        <w:trPr>
          <w:cantSplit/>
        </w:trPr>
        <w:tc>
          <w:tcPr>
            <w:tcW w:type="dxa" w:w="1350"/>
          </w:tcPr>
          <w:p>
            <w:pPr>
              <w:spacing w:before="20" w:after="20"/>
            </w:pPr>
            <w:r>
              <w:rPr>
                <w:rFonts w:ascii="Times New Roman" w:hAnsi="Times New Roman"/>
                <w:b w:val="0"/>
                <w:color w:val="000000"/>
                <w:sz w:val="13"/>
              </w:rPr>
              <w:t>Forged XML</w:t>
            </w:r>
          </w:p>
        </w:tc>
        <w:tc>
          <w:tcPr>
            <w:tcW w:type="dxa" w:w="1650"/>
          </w:tcPr>
          <w:p>
            <w:pPr>
              <w:spacing w:before="20" w:after="20"/>
            </w:pPr>
            <w:r>
              <w:rPr>
                <w:rFonts w:ascii="Times New Roman" w:hAnsi="Times New Roman"/>
                <w:b w:val="0"/>
                <w:color w:val="000000"/>
                <w:sz w:val="13"/>
              </w:rPr>
              <w:t>Tampered DOB field</w:t>
            </w:r>
          </w:p>
        </w:tc>
        <w:tc>
          <w:tcPr>
            <w:tcW w:type="dxa" w:w="1820"/>
          </w:tcPr>
          <w:p>
            <w:pPr>
              <w:spacing w:before="20" w:after="20"/>
            </w:pPr>
            <w:r>
              <w:rPr>
                <w:rFonts w:ascii="Times New Roman" w:hAnsi="Times New Roman"/>
                <w:b w:val="0"/>
                <w:color w:val="000000"/>
                <w:sz w:val="13"/>
              </w:rPr>
              <w:t>RSA-2048 sig fails</w:t>
            </w:r>
          </w:p>
        </w:tc>
      </w:tr>
      <w:tr>
        <w:trPr>
          <w:cantSplit/>
        </w:trPr>
        <w:tc>
          <w:tcPr>
            <w:tcW w:type="dxa" w:w="1350"/>
          </w:tcPr>
          <w:p>
            <w:pPr>
              <w:spacing w:before="20" w:after="20"/>
            </w:pPr>
            <w:r>
              <w:rPr>
                <w:rFonts w:ascii="Times New Roman" w:hAnsi="Times New Roman"/>
                <w:b w:val="0"/>
                <w:color w:val="000000"/>
                <w:sz w:val="13"/>
              </w:rPr>
              <w:t>Proof Forwarding</w:t>
            </w:r>
          </w:p>
        </w:tc>
        <w:tc>
          <w:tcPr>
            <w:tcW w:type="dxa" w:w="1650"/>
          </w:tcPr>
          <w:p>
            <w:pPr>
              <w:spacing w:before="20" w:after="20"/>
            </w:pPr>
            <w:r>
              <w:rPr>
                <w:rFonts w:ascii="Times New Roman" w:hAnsi="Times New Roman"/>
                <w:b w:val="0"/>
                <w:color w:val="000000"/>
                <w:sz w:val="13"/>
              </w:rPr>
              <w:t>Shared proof JSON</w:t>
            </w:r>
          </w:p>
        </w:tc>
        <w:tc>
          <w:tcPr>
            <w:tcW w:type="dxa" w:w="1820"/>
          </w:tcPr>
          <w:p>
            <w:pPr>
              <w:spacing w:before="20" w:after="20"/>
            </w:pPr>
            <w:r>
              <w:rPr>
                <w:rFonts w:ascii="Times New Roman" w:hAnsi="Times New Roman"/>
                <w:b w:val="0"/>
                <w:color w:val="000000"/>
                <w:sz w:val="13"/>
              </w:rPr>
              <w:t>HW sig missing/invalid</w:t>
            </w:r>
          </w:p>
        </w:tc>
      </w:tr>
      <w:tr>
        <w:trPr>
          <w:cantSplit/>
        </w:trPr>
        <w:tc>
          <w:tcPr>
            <w:tcW w:type="dxa" w:w="1350"/>
          </w:tcPr>
          <w:p>
            <w:pPr>
              <w:spacing w:before="20" w:after="20"/>
            </w:pPr>
            <w:r>
              <w:rPr>
                <w:rFonts w:ascii="Times New Roman" w:hAnsi="Times New Roman"/>
                <w:b w:val="0"/>
                <w:color w:val="000000"/>
                <w:sz w:val="13"/>
              </w:rPr>
              <w:t>Credential Replay</w:t>
            </w:r>
          </w:p>
        </w:tc>
        <w:tc>
          <w:tcPr>
            <w:tcW w:type="dxa" w:w="1650"/>
          </w:tcPr>
          <w:p>
            <w:pPr>
              <w:spacing w:before="20" w:after="20"/>
            </w:pPr>
            <w:r>
              <w:rPr>
                <w:rFonts w:ascii="Times New Roman" w:hAnsi="Times New Roman"/>
                <w:b w:val="0"/>
                <w:color w:val="000000"/>
                <w:sz w:val="13"/>
              </w:rPr>
              <w:t>Reused QR payload</w:t>
            </w:r>
          </w:p>
        </w:tc>
        <w:tc>
          <w:tcPr>
            <w:tcW w:type="dxa" w:w="1820"/>
          </w:tcPr>
          <w:p>
            <w:pPr>
              <w:spacing w:before="20" w:after="20"/>
            </w:pPr>
            <w:r>
              <w:rPr>
                <w:rFonts w:ascii="Times New Roman" w:hAnsi="Times New Roman"/>
                <w:b w:val="0"/>
                <w:color w:val="000000"/>
                <w:sz w:val="13"/>
              </w:rPr>
              <w:t>Timestamp + nonce (300s)</w:t>
            </w:r>
          </w:p>
        </w:tc>
      </w:tr>
      <w:tr>
        <w:trPr>
          <w:cantSplit/>
        </w:trPr>
        <w:tc>
          <w:tcPr>
            <w:tcW w:type="dxa" w:w="1350"/>
          </w:tcPr>
          <w:p>
            <w:pPr>
              <w:spacing w:before="20" w:after="20"/>
            </w:pPr>
            <w:r>
              <w:rPr>
                <w:rFonts w:ascii="Times New Roman" w:hAnsi="Times New Roman"/>
                <w:b w:val="0"/>
                <w:color w:val="000000"/>
                <w:sz w:val="13"/>
              </w:rPr>
              <w:t>Revoked Credential</w:t>
            </w:r>
          </w:p>
        </w:tc>
        <w:tc>
          <w:tcPr>
            <w:tcW w:type="dxa" w:w="1650"/>
          </w:tcPr>
          <w:p>
            <w:pPr>
              <w:spacing w:before="20" w:after="20"/>
            </w:pPr>
            <w:r>
              <w:rPr>
                <w:rFonts w:ascii="Times New Roman" w:hAnsi="Times New Roman"/>
                <w:b w:val="0"/>
                <w:color w:val="000000"/>
                <w:sz w:val="13"/>
              </w:rPr>
              <w:t>Use after revocation</w:t>
            </w:r>
          </w:p>
        </w:tc>
        <w:tc>
          <w:tcPr>
            <w:tcW w:type="dxa" w:w="1820"/>
          </w:tcPr>
          <w:p>
            <w:pPr>
              <w:spacing w:before="20" w:after="20"/>
            </w:pPr>
            <w:r>
              <w:rPr>
                <w:rFonts w:ascii="Times New Roman" w:hAnsi="Times New Roman"/>
                <w:b w:val="0"/>
                <w:color w:val="000000"/>
                <w:sz w:val="13"/>
              </w:rPr>
              <w:t>O(1) lookup returns 0x01</w:t>
            </w:r>
          </w:p>
        </w:tc>
      </w:tr>
      <w:tr>
        <w:trPr>
          <w:cantSplit/>
        </w:trPr>
        <w:tc>
          <w:tcPr>
            <w:tcW w:type="dxa" w:w="1350"/>
          </w:tcPr>
          <w:p>
            <w:pPr>
              <w:spacing w:before="20" w:after="20"/>
            </w:pPr>
            <w:r>
              <w:rPr>
                <w:rFonts w:ascii="Times New Roman" w:hAnsi="Times New Roman"/>
                <w:b w:val="0"/>
                <w:color w:val="000000"/>
                <w:sz w:val="13"/>
              </w:rPr>
              <w:t>Cross-Site Tracking</w:t>
            </w:r>
          </w:p>
        </w:tc>
        <w:tc>
          <w:tcPr>
            <w:tcW w:type="dxa" w:w="1650"/>
          </w:tcPr>
          <w:p>
            <w:pPr>
              <w:spacing w:before="20" w:after="20"/>
            </w:pPr>
            <w:r>
              <w:rPr>
                <w:rFonts w:ascii="Times New Roman" w:hAnsi="Times New Roman"/>
                <w:b w:val="0"/>
                <w:color w:val="000000"/>
                <w:sz w:val="13"/>
              </w:rPr>
              <w:t>Colluding verifiers</w:t>
            </w:r>
          </w:p>
        </w:tc>
        <w:tc>
          <w:tcPr>
            <w:tcW w:type="dxa" w:w="1820"/>
          </w:tcPr>
          <w:p>
            <w:pPr>
              <w:spacing w:before="20" w:after="20"/>
            </w:pPr>
            <w:r>
              <w:rPr>
                <w:rFonts w:ascii="Times New Roman" w:hAnsi="Times New Roman"/>
                <w:b w:val="0"/>
                <w:color w:val="000000"/>
                <w:sz w:val="13"/>
              </w:rPr>
              <w:t>Scoped nullifiers + blinding</w:t>
            </w:r>
          </w:p>
        </w:tc>
      </w:tr>
    </w:tbl>
    <w:p>
      <w:pPr>
        <w:spacing w:before="40" w:after="80"/>
      </w:pPr>
    </w:p>
    <w:p>
      <w:pPr>
        <w:keepNext/>
        <w:spacing w:before="240" w:after="120"/>
        <w:jc w:val="center"/>
      </w:pPr>
      <w:r>
        <w:rPr>
          <w:rFonts w:ascii="Times New Roman" w:hAnsi="Times New Roman"/>
          <w:b/>
          <w:color w:val="000000"/>
          <w:sz w:val="20"/>
        </w:rPr>
        <w:t>VI. EXPERIMENTAL EVALUATION</w:t>
      </w:r>
    </w:p>
    <w:p>
      <w:pPr>
        <w:spacing w:before="0" w:after="80" w:line="240" w:lineRule="auto"/>
        <w:ind w:firstLine="360"/>
        <w:jc w:val="both"/>
      </w:pPr>
      <w:r>
        <w:rPr>
          <w:rFonts w:ascii="Times New Roman" w:hAnsi="Times New Roman"/>
          <w:color w:val="000000"/>
          <w:sz w:val="20"/>
        </w:rPr>
        <w:t>We evaluated ZERO-ID across five quantitative metrics using an automated benchmarking suite executing over 1,000 iterations on commodity hardware (Apple M2 MacBook Air, Chrome 120, Algorand TestNet). Results are summarized in Table IV. The benchmarking harness, raw timing logs, and TestNet application source are available at the project repository (Section "Availability" below) to support independent reproduction; figures reported here should be read as measurements from this specific hardware and network configuration rather than universal bounds.</w:t>
      </w:r>
    </w:p>
    <w:p>
      <w:pPr>
        <w:keepNext/>
        <w:spacing w:before="160" w:after="80"/>
        <w:jc w:val="center"/>
      </w:pPr>
      <w:r>
        <w:rPr>
          <w:rFonts w:ascii="Times New Roman" w:hAnsi="Times New Roman"/>
          <w:color w:val="000000"/>
          <w:sz w:val="16"/>
        </w:rPr>
        <w:t>TABLE IV. EMPIRICAL PERFORMANCE COMPARISON</w:t>
      </w:r>
    </w:p>
    <w:tbl>
      <w:tblPr>
        <w:tblW w:type="auto" w:w="0"/>
        <w:jc w:val="center"/>
        <w:tblLayout w:type="autofit"/>
        <w:tblLook w:firstColumn="1" w:firstRow="1" w:lastColumn="0" w:lastRow="0" w:noHBand="0" w:noVBand="1" w:val="04A0"/>
        <w:tblBorders>
          <w:top w:val="single" w:sz="4" w:space="0" w:color="000000"/>
          <w:bottom w:val="single" w:sz="4" w:space="0" w:color="000000"/>
          <w:insideH w:val="single" w:sz="4" w:space="0" w:color="000000"/>
        </w:tblBorders>
      </w:tblPr>
      <w:tblGrid>
        <w:gridCol w:w="2613"/>
        <w:gridCol w:w="2613"/>
        <w:gridCol w:w="2613"/>
        <w:gridCol w:w="2613"/>
      </w:tblGrid>
      <w:tr>
        <w:trPr>
          <w:cantSplit/>
        </w:trPr>
        <w:tc>
          <w:tcPr>
            <w:tcW w:type="dxa" w:w="2613"/>
          </w:tcPr>
          <w:p>
            <w:pPr>
              <w:spacing w:before="20" w:after="20"/>
            </w:pPr>
            <w:r>
              <w:rPr>
                <w:rFonts w:ascii="Times New Roman" w:hAnsi="Times New Roman"/>
                <w:b/>
                <w:color w:val="000000"/>
                <w:sz w:val="16"/>
              </w:rPr>
              <w:t>Metric</w:t>
            </w:r>
          </w:p>
        </w:tc>
        <w:tc>
          <w:tcPr>
            <w:tcW w:type="dxa" w:w="2613"/>
          </w:tcPr>
          <w:p>
            <w:pPr>
              <w:spacing w:before="20" w:after="20"/>
            </w:pPr>
            <w:r>
              <w:rPr>
                <w:rFonts w:ascii="Times New Roman" w:hAnsi="Times New Roman"/>
                <w:b/>
                <w:color w:val="000000"/>
                <w:sz w:val="16"/>
              </w:rPr>
              <w:t>Prior Art Baseline</w:t>
            </w:r>
          </w:p>
        </w:tc>
        <w:tc>
          <w:tcPr>
            <w:tcW w:type="dxa" w:w="2613"/>
          </w:tcPr>
          <w:p>
            <w:pPr>
              <w:spacing w:before="20" w:after="20"/>
            </w:pPr>
            <w:r>
              <w:rPr>
                <w:rFonts w:ascii="Times New Roman" w:hAnsi="Times New Roman"/>
                <w:b/>
                <w:color w:val="000000"/>
                <w:sz w:val="16"/>
              </w:rPr>
              <w:t>ZERO-ID</w:t>
            </w:r>
          </w:p>
        </w:tc>
        <w:tc>
          <w:tcPr>
            <w:tcW w:type="dxa" w:w="2613"/>
          </w:tcPr>
          <w:p>
            <w:pPr>
              <w:spacing w:before="20" w:after="20"/>
            </w:pPr>
            <w:r>
              <w:rPr>
                <w:rFonts w:ascii="Times New Roman" w:hAnsi="Times New Roman"/>
                <w:b/>
                <w:color w:val="000000"/>
                <w:sz w:val="16"/>
              </w:rPr>
              <w:t>Improvement</w:t>
            </w:r>
          </w:p>
        </w:tc>
      </w:tr>
      <w:tr>
        <w:trPr>
          <w:cantSplit/>
        </w:trPr>
        <w:tc>
          <w:tcPr>
            <w:tcW w:type="dxa" w:w="2613"/>
          </w:tcPr>
          <w:p>
            <w:pPr>
              <w:spacing w:before="20" w:after="20"/>
            </w:pPr>
            <w:r>
              <w:rPr>
                <w:rFonts w:ascii="Times New Roman" w:hAnsi="Times New Roman"/>
                <w:b w:val="0"/>
                <w:color w:val="000000"/>
                <w:sz w:val="16"/>
              </w:rPr>
              <w:t>Revocation Complexity</w:t>
            </w:r>
          </w:p>
        </w:tc>
        <w:tc>
          <w:tcPr>
            <w:tcW w:type="dxa" w:w="2613"/>
          </w:tcPr>
          <w:p>
            <w:pPr>
              <w:spacing w:before="20" w:after="20"/>
            </w:pPr>
            <w:r>
              <w:rPr>
                <w:rFonts w:ascii="Times New Roman" w:hAnsi="Times New Roman"/>
                <w:b w:val="0"/>
                <w:color w:val="000000"/>
                <w:sz w:val="16"/>
              </w:rPr>
              <w:t>O(log N), N=2^20</w:t>
            </w:r>
          </w:p>
        </w:tc>
        <w:tc>
          <w:tcPr>
            <w:tcW w:type="dxa" w:w="2613"/>
          </w:tcPr>
          <w:p>
            <w:pPr>
              <w:spacing w:before="20" w:after="20"/>
            </w:pPr>
            <w:r>
              <w:rPr>
                <w:rFonts w:ascii="Times New Roman" w:hAnsi="Times New Roman"/>
                <w:b w:val="0"/>
                <w:color w:val="000000"/>
                <w:sz w:val="16"/>
              </w:rPr>
              <w:t>O(1) Box lookup</w:t>
            </w:r>
          </w:p>
        </w:tc>
        <w:tc>
          <w:tcPr>
            <w:tcW w:type="dxa" w:w="2613"/>
          </w:tcPr>
          <w:p>
            <w:pPr>
              <w:spacing w:before="20" w:after="20"/>
            </w:pPr>
            <w:r>
              <w:rPr>
                <w:rFonts w:ascii="Times New Roman" w:hAnsi="Times New Roman"/>
                <w:b w:val="0"/>
                <w:color w:val="000000"/>
                <w:sz w:val="16"/>
              </w:rPr>
              <w:t>Complexity class</w:t>
            </w:r>
          </w:p>
        </w:tc>
      </w:tr>
      <w:tr>
        <w:trPr>
          <w:cantSplit/>
        </w:trPr>
        <w:tc>
          <w:tcPr>
            <w:tcW w:type="dxa" w:w="2613"/>
          </w:tcPr>
          <w:p>
            <w:pPr>
              <w:spacing w:before="20" w:after="20"/>
            </w:pPr>
            <w:r>
              <w:rPr>
                <w:rFonts w:ascii="Times New Roman" w:hAnsi="Times New Roman"/>
                <w:b w:val="0"/>
                <w:color w:val="000000"/>
                <w:sz w:val="16"/>
              </w:rPr>
              <w:t>Revocation Latency</w:t>
            </w:r>
          </w:p>
        </w:tc>
        <w:tc>
          <w:tcPr>
            <w:tcW w:type="dxa" w:w="2613"/>
          </w:tcPr>
          <w:p>
            <w:pPr>
              <w:spacing w:before="20" w:after="20"/>
            </w:pPr>
            <w:r>
              <w:rPr>
                <w:rFonts w:ascii="Times New Roman" w:hAnsi="Times New Roman"/>
                <w:b w:val="0"/>
                <w:color w:val="000000"/>
                <w:sz w:val="16"/>
              </w:rPr>
              <w:t>900-1800s (ETH L1)</w:t>
            </w:r>
          </w:p>
        </w:tc>
        <w:tc>
          <w:tcPr>
            <w:tcW w:type="dxa" w:w="2613"/>
          </w:tcPr>
          <w:p>
            <w:pPr>
              <w:spacing w:before="20" w:after="20"/>
            </w:pPr>
            <w:r>
              <w:rPr>
                <w:rFonts w:ascii="Times New Roman" w:hAnsi="Times New Roman"/>
                <w:b w:val="0"/>
                <w:color w:val="000000"/>
                <w:sz w:val="16"/>
              </w:rPr>
              <w:t>3.80s (ALGO L1)</w:t>
            </w:r>
          </w:p>
        </w:tc>
        <w:tc>
          <w:tcPr>
            <w:tcW w:type="dxa" w:w="2613"/>
          </w:tcPr>
          <w:p>
            <w:pPr>
              <w:spacing w:before="20" w:after="20"/>
            </w:pPr>
            <w:r>
              <w:rPr>
                <w:rFonts w:ascii="Times New Roman" w:hAnsi="Times New Roman"/>
                <w:b w:val="0"/>
                <w:color w:val="000000"/>
                <w:sz w:val="16"/>
              </w:rPr>
              <w:t>99.6% reduction</w:t>
            </w:r>
          </w:p>
        </w:tc>
      </w:tr>
      <w:tr>
        <w:trPr>
          <w:cantSplit/>
        </w:trPr>
        <w:tc>
          <w:tcPr>
            <w:tcW w:type="dxa" w:w="2613"/>
          </w:tcPr>
          <w:p>
            <w:pPr>
              <w:spacing w:before="20" w:after="20"/>
            </w:pPr>
            <w:r>
              <w:rPr>
                <w:rFonts w:ascii="Times New Roman" w:hAnsi="Times New Roman"/>
                <w:b w:val="0"/>
                <w:color w:val="000000"/>
                <w:sz w:val="16"/>
              </w:rPr>
              <w:t>Proof Payload</w:t>
            </w:r>
          </w:p>
        </w:tc>
        <w:tc>
          <w:tcPr>
            <w:tcW w:type="dxa" w:w="2613"/>
          </w:tcPr>
          <w:p>
            <w:pPr>
              <w:spacing w:before="20" w:after="20"/>
            </w:pPr>
            <w:r>
              <w:rPr>
                <w:rFonts w:ascii="Times New Roman" w:hAnsi="Times New Roman"/>
                <w:b w:val="0"/>
                <w:color w:val="000000"/>
                <w:sz w:val="16"/>
              </w:rPr>
              <w:t>40-100 KB (STARK)</w:t>
            </w:r>
          </w:p>
        </w:tc>
        <w:tc>
          <w:tcPr>
            <w:tcW w:type="dxa" w:w="2613"/>
          </w:tcPr>
          <w:p>
            <w:pPr>
              <w:spacing w:before="20" w:after="20"/>
            </w:pPr>
            <w:r>
              <w:rPr>
                <w:rFonts w:ascii="Times New Roman" w:hAnsi="Times New Roman"/>
                <w:b w:val="0"/>
                <w:color w:val="000000"/>
                <w:sz w:val="16"/>
              </w:rPr>
              <w:t>256 bytes (Groth16)</w:t>
            </w:r>
          </w:p>
        </w:tc>
        <w:tc>
          <w:tcPr>
            <w:tcW w:type="dxa" w:w="2613"/>
          </w:tcPr>
          <w:p>
            <w:pPr>
              <w:spacing w:before="20" w:after="20"/>
            </w:pPr>
            <w:r>
              <w:rPr>
                <w:rFonts w:ascii="Times New Roman" w:hAnsi="Times New Roman"/>
                <w:b w:val="0"/>
                <w:color w:val="000000"/>
                <w:sz w:val="16"/>
              </w:rPr>
              <w:t>99.8% reduction</w:t>
            </w:r>
          </w:p>
        </w:tc>
      </w:tr>
      <w:tr>
        <w:trPr>
          <w:cantSplit/>
        </w:trPr>
        <w:tc>
          <w:tcPr>
            <w:tcW w:type="dxa" w:w="2613"/>
          </w:tcPr>
          <w:p>
            <w:pPr>
              <w:spacing w:before="20" w:after="20"/>
            </w:pPr>
            <w:r>
              <w:rPr>
                <w:rFonts w:ascii="Times New Roman" w:hAnsi="Times New Roman"/>
                <w:b w:val="0"/>
                <w:color w:val="000000"/>
                <w:sz w:val="16"/>
              </w:rPr>
              <w:t>Verifier PII Storage</w:t>
            </w:r>
          </w:p>
        </w:tc>
        <w:tc>
          <w:tcPr>
            <w:tcW w:type="dxa" w:w="2613"/>
          </w:tcPr>
          <w:p>
            <w:pPr>
              <w:spacing w:before="20" w:after="20"/>
            </w:pPr>
            <w:r>
              <w:rPr>
                <w:rFonts w:ascii="Times New Roman" w:hAnsi="Times New Roman"/>
                <w:b w:val="0"/>
                <w:color w:val="000000"/>
                <w:sz w:val="16"/>
              </w:rPr>
              <w:t>1,450 bytes (XML)</w:t>
            </w:r>
          </w:p>
        </w:tc>
        <w:tc>
          <w:tcPr>
            <w:tcW w:type="dxa" w:w="2613"/>
          </w:tcPr>
          <w:p>
            <w:pPr>
              <w:spacing w:before="20" w:after="20"/>
            </w:pPr>
            <w:r>
              <w:rPr>
                <w:rFonts w:ascii="Times New Roman" w:hAnsi="Times New Roman"/>
                <w:b w:val="0"/>
                <w:color w:val="000000"/>
                <w:sz w:val="16"/>
              </w:rPr>
              <w:t>0 bytes</w:t>
            </w:r>
          </w:p>
        </w:tc>
        <w:tc>
          <w:tcPr>
            <w:tcW w:type="dxa" w:w="2613"/>
          </w:tcPr>
          <w:p>
            <w:pPr>
              <w:spacing w:before="20" w:after="20"/>
            </w:pPr>
            <w:r>
              <w:rPr>
                <w:rFonts w:ascii="Times New Roman" w:hAnsi="Times New Roman"/>
                <w:b w:val="0"/>
                <w:color w:val="000000"/>
                <w:sz w:val="16"/>
              </w:rPr>
              <w:t>100% elimination</w:t>
            </w:r>
          </w:p>
        </w:tc>
      </w:tr>
      <w:tr>
        <w:trPr>
          <w:cantSplit/>
        </w:trPr>
        <w:tc>
          <w:tcPr>
            <w:tcW w:type="dxa" w:w="2613"/>
          </w:tcPr>
          <w:p>
            <w:pPr>
              <w:spacing w:before="20" w:after="20"/>
            </w:pPr>
            <w:r>
              <w:rPr>
                <w:rFonts w:ascii="Times New Roman" w:hAnsi="Times New Roman"/>
                <w:b w:val="0"/>
                <w:color w:val="000000"/>
                <w:sz w:val="16"/>
              </w:rPr>
              <w:t>HW Binding Overhead</w:t>
            </w:r>
          </w:p>
        </w:tc>
        <w:tc>
          <w:tcPr>
            <w:tcW w:type="dxa" w:w="2613"/>
          </w:tcPr>
          <w:p>
            <w:pPr>
              <w:spacing w:before="20" w:after="20"/>
            </w:pPr>
            <w:r>
              <w:rPr>
                <w:rFonts w:ascii="Times New Roman" w:hAnsi="Times New Roman"/>
                <w:b w:val="0"/>
                <w:color w:val="000000"/>
                <w:sz w:val="16"/>
              </w:rPr>
              <w:t>N/A</w:t>
            </w:r>
          </w:p>
        </w:tc>
        <w:tc>
          <w:tcPr>
            <w:tcW w:type="dxa" w:w="2613"/>
          </w:tcPr>
          <w:p>
            <w:pPr>
              <w:spacing w:before="20" w:after="20"/>
            </w:pPr>
            <w:r>
              <w:rPr>
                <w:rFonts w:ascii="Times New Roman" w:hAnsi="Times New Roman"/>
                <w:b w:val="0"/>
                <w:color w:val="000000"/>
                <w:sz w:val="16"/>
              </w:rPr>
              <w:t>&lt;0.10 ms (SHA-256)</w:t>
            </w:r>
          </w:p>
        </w:tc>
        <w:tc>
          <w:tcPr>
            <w:tcW w:type="dxa" w:w="2613"/>
          </w:tcPr>
          <w:p>
            <w:pPr>
              <w:spacing w:before="20" w:after="20"/>
            </w:pPr>
            <w:r>
              <w:rPr>
                <w:rFonts w:ascii="Times New Roman" w:hAnsi="Times New Roman"/>
                <w:b w:val="0"/>
                <w:color w:val="000000"/>
                <w:sz w:val="16"/>
              </w:rPr>
              <w:t>Negligible</w:t>
            </w:r>
          </w:p>
        </w:tc>
      </w:tr>
    </w:tbl>
    <w:p>
      <w:pPr>
        <w:spacing w:before="40" w:after="80"/>
      </w:pPr>
    </w:p>
    <w:p>
      <w:pPr>
        <w:spacing w:before="0" w:after="80" w:line="240" w:lineRule="auto"/>
        <w:ind w:firstLine="360"/>
        <w:jc w:val="both"/>
      </w:pPr>
      <w:r>
        <w:rPr>
          <w:rFonts w:ascii="Times New Roman" w:hAnsi="Times New Roman"/>
          <w:color w:val="000000"/>
          <w:sz w:val="20"/>
        </w:rPr>
        <w:t>The revocation latency measurement merits particular attention. In Merkle-tree-based revocation systems, revoking a credential in a tree of depth d requires O(d) hash recomputations followed by an Ethereum Layer-1 transaction with 12-15 minute probabilistic finality. ZERO-ID's Box Storage approach reduces this to a single Algorand application call that writes a 1-byte flag, achieving deterministic finality in 3.8 seconds. For a revocation index serving N = 10^9 credentials, the Merkle approach requires approximately 30 hash operations per revocation, while ZERO-ID requires exactly one key-value write regardless of index size.</w:t>
      </w:r>
    </w:p>
    <w:p>
      <w:pPr>
        <w:spacing w:before="0" w:after="80" w:line="240" w:lineRule="auto"/>
        <w:ind w:firstLine="360"/>
        <w:jc w:val="both"/>
      </w:pPr>
      <w:r>
        <w:rPr>
          <w:rFonts w:ascii="Times New Roman" w:hAnsi="Times New Roman"/>
          <w:color w:val="000000"/>
          <w:sz w:val="20"/>
        </w:rPr>
        <w:t>The proof payload comparison reflects Groth16's information-theoretic optimality among pairing-based SNARK constructions. The 256-byte payload comprises three BN254 group elements (A in G1: 64 bytes compressed, B in G2: 128 bytes compressed, C in G1: 64 bytes compressed) and fits well within a standard QR Version 4 code's approximately 3 KB binary capacity. STARK-based alternatives, while offering transparent setup, produce proofs ranging from 40 KB to 100 KB that exceed QR encoding capacity and require server-mediated transmission.</w:t>
      </w:r>
    </w:p>
    <w:p>
      <w:pPr>
        <w:spacing w:before="0" w:after="80" w:line="240" w:lineRule="auto"/>
        <w:ind w:firstLine="360"/>
        <w:jc w:val="both"/>
      </w:pPr>
      <w:r>
        <w:rPr>
          <w:rFonts w:ascii="Times New Roman" w:hAnsi="Times New Roman"/>
          <w:color w:val="000000"/>
          <w:sz w:val="20"/>
        </w:rPr>
        <w:t>Client-side proving time was measured at a mean of 1.37 seconds (standard deviation 0.12s) across 500 proof generations on the WebAssembly snarkjs runtime. Memory consumption peaked at 42 MB during witness computation. The WebAuthn hardware enclave signing operation added less than 0.1 milliseconds of computational overhead exclusive of the user biometric interaction latency.</w:t>
      </w:r>
    </w:p>
    <w:p>
      <w:pPr>
        <w:keepNext/>
        <w:spacing w:before="240" w:after="120"/>
        <w:jc w:val="center"/>
      </w:pPr>
      <w:r>
        <w:rPr>
          <w:rFonts w:ascii="Times New Roman" w:hAnsi="Times New Roman"/>
          <w:b/>
          <w:color w:val="000000"/>
          <w:sz w:val="20"/>
        </w:rPr>
        <w:t>VII. REGULATORY COMPLIANCE ANALYSIS</w:t>
      </w:r>
    </w:p>
    <w:p>
      <w:pPr>
        <w:spacing w:before="0" w:after="80" w:line="240" w:lineRule="auto"/>
        <w:ind w:firstLine="360"/>
        <w:jc w:val="both"/>
      </w:pPr>
      <w:r>
        <w:rPr>
          <w:rFonts w:ascii="Times New Roman" w:hAnsi="Times New Roman"/>
          <w:color w:val="000000"/>
          <w:sz w:val="20"/>
        </w:rPr>
        <w:t>ZERO-ID's architectural properties map directly to compliance requirements under three regulatory frameworks governing digital identity in India.</w:t>
      </w:r>
    </w:p>
    <w:p>
      <w:pPr>
        <w:spacing w:before="0" w:after="80" w:line="240" w:lineRule="auto"/>
        <w:ind w:firstLine="360"/>
        <w:jc w:val="both"/>
      </w:pPr>
      <w:r>
        <w:rPr>
          <w:rFonts w:ascii="Times New Roman" w:hAnsi="Times New Roman"/>
          <w:color w:val="000000"/>
          <w:sz w:val="20"/>
        </w:rPr>
        <w:t>Under the DPDP Act 2023, Section 6(1) mandates data minimization: fiduciaries shall collect only personal data strictly necessary for the specified purpose. ZERO-ID satisfies this requirement by transmitting zero bytes of raw PII to the verifier; only a Boolean attestation result is communicated. Section 8(7) requires erasure upon purpose completion, which ZERO-ID enforces through volatile memory allocation and cryptographic purging of XML buffers immediately after proof generation.</w:t>
      </w:r>
    </w:p>
    <w:p>
      <w:pPr>
        <w:spacing w:before="0" w:after="80" w:line="240" w:lineRule="auto"/>
        <w:ind w:firstLine="360"/>
        <w:jc w:val="both"/>
      </w:pPr>
      <w:r>
        <w:rPr>
          <w:rFonts w:ascii="Times New Roman" w:hAnsi="Times New Roman"/>
          <w:color w:val="000000"/>
          <w:sz w:val="20"/>
        </w:rPr>
        <w:t>The Reserve Bank of India Master Direction on KYC (2023 update), Sections 16-17, explicitly recognizes Offline Verification of Aadhaar as an approved mechanism for Customer Due Diligence. ZERO-ID's ingestion of UIDAI-signed Offline e-KYC XML files constitutes a compliant implementation of this approved verification modality. Additionally, the Supreme Court of India's ruling in K.S. Puttaswamy v. Union of India (2018) [19] prohibits private entities from storing unredacted Aadhaar numbers, a constraint ZERO-ID satisfies by processing only derived cryptographic hashes.</w:t>
      </w:r>
    </w:p>
    <w:p>
      <w:pPr>
        <w:keepNext/>
        <w:spacing w:before="240" w:after="120"/>
        <w:jc w:val="center"/>
      </w:pPr>
      <w:r>
        <w:rPr>
          <w:rFonts w:ascii="Times New Roman" w:hAnsi="Times New Roman"/>
          <w:b/>
          <w:color w:val="000000"/>
          <w:sz w:val="20"/>
        </w:rPr>
        <w:t>VIII. DISCUSSION AND LIMITATIONS</w:t>
      </w:r>
    </w:p>
    <w:p>
      <w:pPr>
        <w:spacing w:before="0" w:after="80" w:line="240" w:lineRule="auto"/>
        <w:ind w:firstLine="360"/>
        <w:jc w:val="both"/>
      </w:pPr>
      <w:r>
        <w:rPr>
          <w:rFonts w:ascii="Times New Roman" w:hAnsi="Times New Roman"/>
          <w:color w:val="000000"/>
          <w:sz w:val="20"/>
        </w:rPr>
        <w:t>Several limitations of the current ZERO-ID implementation warrant discussion. First, the hardware binding mechanism requires devices supporting W3C WebAuthn with hardware security enclaves. While coverage extends to all modern Apple (Secure Enclave), Android (Titan M2), and Windows (TPM 2.0) devices, legacy feature phones lacking biometric enclaves cannot participate in hardware-bound verification.</w:t>
      </w:r>
    </w:p>
    <w:p>
      <w:pPr>
        <w:spacing w:before="0" w:after="80" w:line="240" w:lineRule="auto"/>
        <w:ind w:firstLine="360"/>
        <w:jc w:val="both"/>
      </w:pPr>
      <w:r>
        <w:rPr>
          <w:rFonts w:ascii="Times New Roman" w:hAnsi="Times New Roman"/>
          <w:color w:val="000000"/>
          <w:sz w:val="20"/>
        </w:rPr>
        <w:t>Second, Groth16 requires a trusted setup ceremony. ZERO-ID utilizes the Hermez/Ethereum Foundation Perpetual Powers of Tau ceremony with over 1,000 participants. Under the 1-of-N honest participant security model, the setup is secure provided at least one participant properly destroyed their secret randomness. For deployment contexts requiring transparent setup, the Circom circuits are compatible with PLONK compilation at the cost of increased proof size (450-800 bytes).</w:t>
      </w:r>
    </w:p>
    <w:p>
      <w:pPr>
        <w:spacing w:before="0" w:after="80" w:line="240" w:lineRule="auto"/>
        <w:ind w:firstLine="360"/>
        <w:jc w:val="both"/>
      </w:pPr>
      <w:r>
        <w:rPr>
          <w:rFonts w:ascii="Times New Roman" w:hAnsi="Times New Roman"/>
          <w:color w:val="000000"/>
          <w:sz w:val="20"/>
        </w:rPr>
        <w:t>Third, the current implementation verifies the UIDAI RSA-2048 signature in client-side JavaScript prior to witness injection rather than within the ZK circuit itself. Full in-circuit RSA verification would require approximately 1.2 million R1CS constraints, significantly increasing proving time. We identify recursive folding-scheme SNARKs (Nova/SuperNova) [20] as a viable path toward efficient in-circuit signature verification in future work.</w:t>
      </w:r>
    </w:p>
    <w:p>
      <w:pPr>
        <w:spacing w:before="0" w:after="80" w:line="240" w:lineRule="auto"/>
        <w:ind w:firstLine="360"/>
        <w:jc w:val="both"/>
      </w:pPr>
      <w:r>
        <w:rPr>
          <w:rFonts w:ascii="Times New Roman" w:hAnsi="Times New Roman"/>
          <w:color w:val="000000"/>
          <w:sz w:val="20"/>
        </w:rPr>
        <w:t>Fourth, the economic analysis of Box Storage at national scale is favorable: supporting 1.4 billion credential entries at 0.0157 ALGO per entry requires a total minimum balance of approximately 22 million ALGO (approximately USD 4.2 million), a fraction of the annual operational cost of centralized KYC infrastructure.</w:t>
      </w:r>
    </w:p>
    <w:p>
      <w:pPr>
        <w:keepNext/>
        <w:spacing w:before="240" w:after="120"/>
        <w:jc w:val="center"/>
      </w:pPr>
      <w:r>
        <w:rPr>
          <w:rFonts w:ascii="Times New Roman" w:hAnsi="Times New Roman"/>
          <w:b/>
          <w:color w:val="000000"/>
          <w:sz w:val="20"/>
        </w:rPr>
        <w:t>IX. CONCLUSION</w:t>
      </w:r>
    </w:p>
    <w:p>
      <w:pPr>
        <w:spacing w:before="0" w:after="80" w:line="240" w:lineRule="auto"/>
        <w:ind w:firstLine="360"/>
        <w:jc w:val="both"/>
      </w:pPr>
      <w:r>
        <w:rPr>
          <w:rFonts w:ascii="Times New Roman" w:hAnsi="Times New Roman"/>
          <w:color w:val="000000"/>
          <w:sz w:val="20"/>
        </w:rPr>
        <w:t>This paper presented ZERO-ID, a hardware-bound zero-knowledge identity verification protocol with constant-time decentralized revocation on Algorand Layer-1. By integrating client-side Groth16 proof generation, W3C WebAuthn hardware enclave binding, and O(1) Box Storage revocation, the system simultaneously eliminates the proof-forwarding vulnerability inherent in existing ZK-KYC protocols and achieves sub-4-second global credential invalidation—a 99.6% improvement over Merkle-tree-based alternatives.</w:t>
      </w:r>
    </w:p>
    <w:p>
      <w:pPr>
        <w:spacing w:before="0" w:after="80" w:line="240" w:lineRule="auto"/>
        <w:ind w:firstLine="360"/>
        <w:jc w:val="both"/>
      </w:pPr>
      <w:r>
        <w:rPr>
          <w:rFonts w:ascii="Times New Roman" w:hAnsi="Times New Roman"/>
          <w:color w:val="000000"/>
          <w:sz w:val="20"/>
        </w:rPr>
        <w:t>The protocol produces a constant 256-byte proof payload compatible with QR-based presentation, requires zero bytes of PII storage at the verifier, and satisfies the data minimization requirements of India's DPDP Act 2023. Empirical evaluation on commodity hardware demonstrates sub-1.5-second client-side proving time and sub-4-millisecond on-chain verification via Algorand's native bn254_pairing opcode.</w:t>
      </w:r>
    </w:p>
    <w:p>
      <w:pPr>
        <w:spacing w:before="0" w:after="80" w:line="240" w:lineRule="auto"/>
        <w:ind w:firstLine="360"/>
        <w:jc w:val="both"/>
      </w:pPr>
      <w:r>
        <w:rPr>
          <w:rFonts w:ascii="Times New Roman" w:hAnsi="Times New Roman"/>
          <w:color w:val="000000"/>
          <w:sz w:val="20"/>
        </w:rPr>
        <w:t>Future work will pursue in-circuit RSA-2048 verification using recursive SNARKs, multi-jurisdictional credential ingestion for EU eIDAS 2.0 and ISO 18013-5 mobile driver's licenses, threshold social recovery mechanisms for lost hardware passkeys, and cross-chain state bridges between Algorand Box Storage and EVM-compatible networks.</w:t>
      </w:r>
    </w:p>
    <w:p>
      <w:pPr>
        <w:keepNext/>
        <w:spacing w:before="240" w:after="120"/>
        <w:jc w:val="center"/>
      </w:pPr>
      <w:r>
        <w:rPr>
          <w:rFonts w:ascii="Times New Roman" w:hAnsi="Times New Roman"/>
          <w:b/>
          <w:color w:val="000000"/>
          <w:sz w:val="20"/>
        </w:rPr>
        <w:t>AVAILABILITY</w:t>
      </w:r>
    </w:p>
    <w:p>
      <w:pPr>
        <w:spacing w:before="0" w:after="80" w:line="240" w:lineRule="auto"/>
        <w:ind w:firstLine="360"/>
        <w:jc w:val="both"/>
      </w:pPr>
      <w:r>
        <w:rPr>
          <w:rFonts w:ascii="Times New Roman" w:hAnsi="Times New Roman"/>
          <w:color w:val="000000"/>
          <w:sz w:val="20"/>
        </w:rPr>
        <w:t>The Circom circuits, client-side proving pipeline, Algorand AVM smart contracts, and the benchmarking harness used to produce Tables II and IV are made available at the project repository to enable independent verification of the reported measurements. TestNet application IDs cited in Sections III-B and III-C are subject to change upon MainNet migration; readers should consult the repository for current deployment addresses rather than relying on the identifiers printed here.</w:t>
      </w:r>
    </w:p>
    <w:p>
      <w:pPr>
        <w:keepNext/>
        <w:spacing w:before="240" w:after="120"/>
        <w:jc w:val="center"/>
      </w:pPr>
      <w:r>
        <w:rPr>
          <w:rFonts w:ascii="Times New Roman" w:hAnsi="Times New Roman"/>
          <w:b/>
          <w:color w:val="000000"/>
          <w:sz w:val="20"/>
        </w:rPr>
        <w:t>REFERENCES</w:t>
      </w:r>
    </w:p>
    <w:p>
      <w:pPr>
        <w:spacing w:before="0" w:after="40" w:line="240" w:lineRule="auto"/>
        <w:ind w:left="360" w:hanging="360"/>
      </w:pPr>
      <w:r>
        <w:rPr>
          <w:rFonts w:ascii="Times New Roman" w:hAnsi="Times New Roman"/>
          <w:color w:val="000000"/>
          <w:sz w:val="16"/>
        </w:rPr>
        <w:t xml:space="preserve">[1] Unique Identification Authority of India (UIDAI), "Aadhaar Dashboard: Enrolment and Authentication Statistics," 2025. [Online]. Available: https://uidai.gov.in/aadhaar_dashboard</w:t>
      </w:r>
    </w:p>
    <w:p>
      <w:pPr>
        <w:spacing w:before="0" w:after="40" w:line="240" w:lineRule="auto"/>
        <w:ind w:left="360" w:hanging="360"/>
      </w:pPr>
      <w:r>
        <w:rPr>
          <w:rFonts w:ascii="Times New Roman" w:hAnsi="Times New Roman"/>
          <w:color w:val="000000"/>
          <w:sz w:val="16"/>
        </w:rPr>
        <w:t xml:space="preserve">[2] C. Sharma, "Massive Aadhaar Data Breach Exposes 815 Million Indian Citizens' Biometric and Identity Data," Resecurity Threat Intelligence, Oct. 2023.</w:t>
      </w:r>
    </w:p>
    <w:p>
      <w:pPr>
        <w:spacing w:before="0" w:after="40" w:line="240" w:lineRule="auto"/>
        <w:ind w:left="360" w:hanging="360"/>
      </w:pPr>
      <w:r>
        <w:rPr>
          <w:rFonts w:ascii="Times New Roman" w:hAnsi="Times New Roman"/>
          <w:color w:val="000000"/>
          <w:sz w:val="16"/>
        </w:rPr>
        <w:t xml:space="preserve">[3] Government of India, "The Digital Personal Data Protection Act, 2023," Ministry of Electronics and Information Technology, Act No. 22 of 2023.</w:t>
      </w:r>
    </w:p>
    <w:p>
      <w:pPr>
        <w:spacing w:before="0" w:after="40" w:line="240" w:lineRule="auto"/>
        <w:ind w:left="360" w:hanging="360"/>
      </w:pPr>
      <w:r>
        <w:rPr>
          <w:rFonts w:ascii="Times New Roman" w:hAnsi="Times New Roman"/>
          <w:color w:val="000000"/>
          <w:sz w:val="16"/>
        </w:rPr>
        <w:t xml:space="preserve">[4] Privacy and Scaling Explorations, "Anon Aadhaar: Privacy-Preserving Aadhaar Identity Verification Using ZK-SNARKs," Ethereum Foundation, 2024. [Online]. Available: https://pse.dev/projects/anon-aadhaar</w:t>
      </w:r>
    </w:p>
    <w:p>
      <w:pPr>
        <w:spacing w:before="0" w:after="40" w:line="240" w:lineRule="auto"/>
        <w:ind w:left="360" w:hanging="360"/>
      </w:pPr>
      <w:r>
        <w:rPr>
          <w:rFonts w:ascii="Times New Roman" w:hAnsi="Times New Roman"/>
          <w:color w:val="000000"/>
          <w:sz w:val="16"/>
        </w:rPr>
        <w:t xml:space="preserve">[5] Sismo Protocol, "Sismo: Privacy-Preserving Attestations for Web3," Technical Documentation, 2023.</w:t>
      </w:r>
    </w:p>
    <w:p>
      <w:pPr>
        <w:spacing w:before="0" w:after="40" w:line="240" w:lineRule="auto"/>
        <w:ind w:left="360" w:hanging="360"/>
      </w:pPr>
      <w:r>
        <w:rPr>
          <w:rFonts w:ascii="Times New Roman" w:hAnsi="Times New Roman"/>
          <w:color w:val="000000"/>
          <w:sz w:val="16"/>
        </w:rPr>
        <w:t xml:space="preserve">[6] Worldcoin Foundation, "World ID: Privacy-Preserving Proof of Personhood Using Iris Biometrics," Whitepaper, 2024.</w:t>
      </w:r>
    </w:p>
    <w:p>
      <w:pPr>
        <w:spacing w:before="0" w:after="40" w:line="240" w:lineRule="auto"/>
        <w:ind w:left="360" w:hanging="360"/>
      </w:pPr>
      <w:r>
        <w:rPr>
          <w:rFonts w:ascii="Times New Roman" w:hAnsi="Times New Roman"/>
          <w:color w:val="000000"/>
          <w:sz w:val="16"/>
        </w:rPr>
        <w:t xml:space="preserve">[7] Iden3 and Polygon Labs, "Polygon ID: Self-Sovereign Identity with Zero-Knowledge Proofs on Ethereum," Technical Specification v2.0, 2024.</w:t>
      </w:r>
    </w:p>
    <w:p>
      <w:pPr>
        <w:spacing w:before="0" w:after="40" w:line="240" w:lineRule="auto"/>
        <w:ind w:left="360" w:hanging="360"/>
      </w:pPr>
      <w:r>
        <w:rPr>
          <w:rFonts w:ascii="Times New Roman" w:hAnsi="Times New Roman"/>
          <w:color w:val="000000"/>
          <w:sz w:val="16"/>
        </w:rPr>
        <w:t xml:space="preserve">[8] Ethereum Foundation, "EIP-197: Precompiled Contract for Optimal Ate Pairing Check on the Elliptic Curve alt_bn128," Ethereum Improvement Proposals, 2017.</w:t>
      </w:r>
    </w:p>
    <w:p>
      <w:pPr>
        <w:spacing w:before="0" w:after="40" w:line="240" w:lineRule="auto"/>
        <w:ind w:left="360" w:hanging="360"/>
      </w:pPr>
      <w:r>
        <w:rPr>
          <w:rFonts w:ascii="Times New Roman" w:hAnsi="Times New Roman"/>
          <w:color w:val="000000"/>
          <w:sz w:val="16"/>
        </w:rPr>
        <w:t xml:space="preserve">[9] E. Ben-Sasson, A. Chiesa, D. Genkin, E. Tromer, and M. Virza, "SNARKs for C: Verifying Program Executions Succinctly and in Zero Knowledge," in Advances in Cryptology (CRYPTO), 2013, pp. 90-108.</w:t>
      </w:r>
    </w:p>
    <w:p>
      <w:pPr>
        <w:spacing w:before="0" w:after="40" w:line="240" w:lineRule="auto"/>
        <w:ind w:left="360" w:hanging="360"/>
      </w:pPr>
      <w:r>
        <w:rPr>
          <w:rFonts w:ascii="Times New Roman" w:hAnsi="Times New Roman"/>
          <w:color w:val="000000"/>
          <w:sz w:val="16"/>
        </w:rPr>
        <w:t xml:space="preserve">[10] J. Groth, "On the Size of Pairing-Based Non-Interactive Arguments," in Advances in Cryptology (EUROCRYPT), 2016, pp. 305-326.</w:t>
      </w:r>
    </w:p>
    <w:p>
      <w:pPr>
        <w:spacing w:before="0" w:after="40" w:line="240" w:lineRule="auto"/>
        <w:ind w:left="360" w:hanging="360"/>
      </w:pPr>
      <w:r>
        <w:rPr>
          <w:rFonts w:ascii="Times New Roman" w:hAnsi="Times New Roman"/>
          <w:color w:val="000000"/>
          <w:sz w:val="16"/>
        </w:rPr>
        <w:t xml:space="preserve">[11] C. Gentry and D. Wichs, "Separating Succinct Non-Interactive Arguments from All Falsifiable Assumptions," in Proc. 43rd ACM Symp. Theory of Computing (STOC), 2011, pp. 99-108.</w:t>
      </w:r>
    </w:p>
    <w:p>
      <w:pPr>
        <w:spacing w:before="0" w:after="40" w:line="240" w:lineRule="auto"/>
        <w:ind w:left="360" w:hanging="360"/>
      </w:pPr>
      <w:r>
        <w:rPr>
          <w:rFonts w:ascii="Times New Roman" w:hAnsi="Times New Roman"/>
          <w:color w:val="000000"/>
          <w:sz w:val="16"/>
        </w:rPr>
        <w:t xml:space="preserve">[12] World Wide Web Consortium (W3C), "Web Authentication: An API for Accessing Public Key Credentials Level 2," W3C Recommendation, Apr. 2021.</w:t>
      </w:r>
    </w:p>
    <w:p>
      <w:pPr>
        <w:spacing w:before="0" w:after="40" w:line="240" w:lineRule="auto"/>
        <w:ind w:left="360" w:hanging="360"/>
      </w:pPr>
      <w:r>
        <w:rPr>
          <w:rFonts w:ascii="Times New Roman" w:hAnsi="Times New Roman"/>
          <w:color w:val="000000"/>
          <w:sz w:val="16"/>
        </w:rPr>
        <w:t xml:space="preserve">[13] FIDO Alliance, "Client to Authenticator Protocol (CTAP) v2.1," FIDO2 Technical Specification, 2024.</w:t>
      </w:r>
    </w:p>
    <w:p>
      <w:pPr>
        <w:spacing w:before="0" w:after="40" w:line="240" w:lineRule="auto"/>
        <w:ind w:left="360" w:hanging="360"/>
      </w:pPr>
      <w:r>
        <w:rPr>
          <w:rFonts w:ascii="Times New Roman" w:hAnsi="Times New Roman"/>
          <w:color w:val="000000"/>
          <w:sz w:val="16"/>
        </w:rPr>
        <w:t xml:space="preserve">[14] C. Yeoh, E. Puddu, and S. Capkun, "FIDO-AC: Attribute-Based Credentials from FIDO2 Authentication," in Proc. 32nd USENIX Security Symposium, 2023, pp. 4835-4852.</w:t>
      </w:r>
    </w:p>
    <w:p>
      <w:pPr>
        <w:spacing w:before="0" w:after="40" w:line="240" w:lineRule="auto"/>
        <w:ind w:left="360" w:hanging="360"/>
      </w:pPr>
      <w:r>
        <w:rPr>
          <w:rFonts w:ascii="Times New Roman" w:hAnsi="Times New Roman"/>
          <w:color w:val="000000"/>
          <w:sz w:val="16"/>
        </w:rPr>
        <w:t xml:space="preserve">[15] Cloudflare Inc., "Private Access Tokens: Privacy-Preserving Device Attestation Without CAPTCHAs," Cloudflare Research Blog, 2022.</w:t>
      </w:r>
    </w:p>
    <w:p>
      <w:pPr>
        <w:spacing w:before="0" w:after="40" w:line="240" w:lineRule="auto"/>
        <w:ind w:left="360" w:hanging="360"/>
      </w:pPr>
      <w:r>
        <w:rPr>
          <w:rFonts w:ascii="Times New Roman" w:hAnsi="Times New Roman"/>
          <w:color w:val="000000"/>
          <w:sz w:val="16"/>
        </w:rPr>
        <w:t xml:space="preserve">[16] S. Micali, "Algorand: Scaling Byzantine Agreements for Cryptocurrencies," in Proc. 38th ACM Symp. Principles of Distributed Computing (PODC), 2019, pp. 51-68.</w:t>
      </w:r>
    </w:p>
    <w:p>
      <w:pPr>
        <w:spacing w:before="0" w:after="40" w:line="240" w:lineRule="auto"/>
        <w:ind w:left="360" w:hanging="360"/>
      </w:pPr>
      <w:r>
        <w:rPr>
          <w:rFonts w:ascii="Times New Roman" w:hAnsi="Times New Roman"/>
          <w:color w:val="000000"/>
          <w:sz w:val="16"/>
        </w:rPr>
        <w:t xml:space="preserve">[17] Algorand Foundation, "Algorand Virtual Machine (AVM) Specification v10: Box Storage and BN254 Pairing Opcodes," Technical Reference, 2024.</w:t>
      </w:r>
    </w:p>
    <w:p>
      <w:pPr>
        <w:spacing w:before="0" w:after="40" w:line="240" w:lineRule="auto"/>
        <w:ind w:left="360" w:hanging="360"/>
      </w:pPr>
      <w:r>
        <w:rPr>
          <w:rFonts w:ascii="Times New Roman" w:hAnsi="Times New Roman"/>
          <w:color w:val="000000"/>
          <w:sz w:val="16"/>
        </w:rPr>
        <w:t xml:space="preserve">[18] L. Grassi, D. Khovratovich, C. Rechberger, A. Roy, and M. Schofnegger, "Poseidon: A New Hash Function for Zero-Knowledge Proof Systems," in Proc. 30th USENIX Security Symposium, 2021, pp. 519-535.</w:t>
      </w:r>
    </w:p>
    <w:p>
      <w:pPr>
        <w:spacing w:before="0" w:after="40" w:line="240" w:lineRule="auto"/>
        <w:ind w:left="360" w:hanging="360"/>
      </w:pPr>
      <w:r>
        <w:rPr>
          <w:rFonts w:ascii="Times New Roman" w:hAnsi="Times New Roman"/>
          <w:color w:val="000000"/>
          <w:sz w:val="16"/>
        </w:rPr>
        <w:t xml:space="preserve">[19] Supreme Court of India, "K.S. Puttaswamy v. Union of India," Writ Petition (Civil) No. 494 of 2012, Judgment dated 26 September 2018.</w:t>
      </w:r>
    </w:p>
    <w:p>
      <w:pPr>
        <w:spacing w:before="0" w:after="40" w:line="240" w:lineRule="auto"/>
        <w:ind w:left="360" w:hanging="360"/>
      </w:pPr>
      <w:r>
        <w:rPr>
          <w:rFonts w:ascii="Times New Roman" w:hAnsi="Times New Roman"/>
          <w:color w:val="000000"/>
          <w:sz w:val="16"/>
        </w:rPr>
        <w:t xml:space="preserve">[20] A. Kothapalli, S. Setty, and I. Tzialla, "Nova: Recursive Zero-Knowledge Arguments from Folding Schemes," in Advances in Cryptology (CRYPTO), 2022, pp. 247-277.</w:t>
      </w:r>
    </w:p>
    <w:sectPr w:rsidR="00FC693F" w:rsidRPr="0006063C" w:rsidSect="00034616">
      <w:pgSz w:w="12240" w:h="15840"/>
      <w:pgMar w:top="1080" w:right="893" w:bottom="1440" w:left="893" w:header="720" w:footer="720" w:gutter="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