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595959"/>
          <w:sz w:val="22"/>
          <w:szCs w:val="22"/>
        </w:rPr>
        <w:t xml:space="preserve">PATENT INVENTION DISCLOSURE &amp; TECHNICAL PROJECT REPORT</w:t>
      </w:r>
    </w:p>
    <w:p>
      <w:pPr>
        <w:spacing w:after="200"/>
        <w:jc w:val="center"/>
      </w:pPr>
      <w:r>
        <w:rPr>
          <w:b/>
          <w:bCs/>
          <w:color w:val="1F4E79"/>
          <w:sz w:val="56"/>
          <w:szCs w:val="56"/>
        </w:rPr>
        <w:t xml:space="preserve">ZERO-ID</w:t>
      </w:r>
    </w:p>
    <w:p>
      <w:pPr>
        <w:spacing w:after="300"/>
        <w:jc w:val="center"/>
      </w:pPr>
      <w:r>
        <w:rPr>
          <w:b/>
          <w:bCs/>
          <w:color w:val="1F4E79"/>
          <w:sz w:val="26"/>
          <w:szCs w:val="26"/>
        </w:rPr>
        <w:t xml:space="preserve">A System and Method for Hardware-Bound Zero-Knowledge Identity Verification with Constant-Time Decentralized Revocation</w:t>
      </w:r>
    </w:p>
    <w:p>
      <w:pPr>
        <w:spacing w:after="80"/>
        <w:jc w:val="center"/>
      </w:pPr>
      <w:r>
        <w:rPr>
          <w:i/>
          <w:iCs/>
          <w:sz w:val="20"/>
          <w:szCs w:val="20"/>
        </w:rPr>
        <w:t xml:space="preserve">Description of the Project Work</w:t>
      </w:r>
    </w:p>
    <w:p>
      <w:pPr>
        <w:spacing w:after="400"/>
        <w:jc w:val="center"/>
      </w:pPr>
      <w:r>
        <w:rPr>
          <w:i/>
          <w:iCs/>
          <w:sz w:val="20"/>
          <w:szCs w:val="20"/>
        </w:rPr>
        <w:t xml:space="preserve">Prepared with reference to Section 3(k) of the Indian Patents Act 1970 (CRI Guidelines), the Ferid Allani v. Union of India (Delhi HC 2019) precedent, and the Digital Personal Data Protection Act 2023.</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c>
          <w:tcPr>
            <w:tcW w:type="pct" w:w="30%"/>
            <w:shd w:fill="F2F2F2" w:val="clear"/>
            <w:tcMar>
              <w:top w:type="dxa" w:w="100"/>
              <w:left w:type="dxa" w:w="120"/>
              <w:bottom w:type="dxa" w:w="100"/>
              <w:right w:type="dxa" w:w="120"/>
            </w:tcMar>
          </w:tcPr>
          <w:p>
            <w:r>
              <w:rPr>
                <w:b/>
                <w:bCs/>
                <w:sz w:val="20"/>
                <w:szCs w:val="20"/>
              </w:rPr>
              <w:t xml:space="preserve">Principal Author &amp; Inventor:</w:t>
            </w:r>
          </w:p>
        </w:tc>
        <w:tc>
          <w:tcPr>
            <w:tcW w:type="pct" w:w="70%"/>
            <w:tcMar>
              <w:top w:type="dxa" w:w="100"/>
              <w:left w:type="dxa" w:w="120"/>
              <w:bottom w:type="dxa" w:w="100"/>
              <w:right w:type="dxa" w:w="120"/>
            </w:tcMar>
          </w:tcPr>
          <w:p>
            <w:r>
              <w:rPr>
                <w:sz w:val="20"/>
                <w:szCs w:val="20"/>
              </w:rPr>
              <w:t xml:space="preserve">Suyash &amp; Project Engineering Team (ZERO-ID)</w:t>
            </w:r>
          </w:p>
        </w:tc>
      </w:tr>
      <w:tr>
        <w:tc>
          <w:tcPr>
            <w:tcW w:type="pct" w:w="30%"/>
            <w:shd w:fill="F2F2F2" w:val="clear"/>
            <w:tcMar>
              <w:top w:type="dxa" w:w="100"/>
              <w:left w:type="dxa" w:w="120"/>
              <w:bottom w:type="dxa" w:w="100"/>
              <w:right w:type="dxa" w:w="120"/>
            </w:tcMar>
          </w:tcPr>
          <w:p>
            <w:r>
              <w:rPr>
                <w:b/>
                <w:bCs/>
                <w:sz w:val="20"/>
                <w:szCs w:val="20"/>
              </w:rPr>
              <w:t xml:space="preserve">Institutional Affiliation:</w:t>
            </w:r>
          </w:p>
        </w:tc>
        <w:tc>
          <w:tcPr>
            <w:tcW w:type="pct" w:w="70%"/>
            <w:tcMar>
              <w:top w:type="dxa" w:w="100"/>
              <w:left w:type="dxa" w:w="120"/>
              <w:bottom w:type="dxa" w:w="100"/>
              <w:right w:type="dxa" w:w="120"/>
            </w:tcMar>
          </w:tcPr>
          <w:p>
            <w:r>
              <w:rPr>
                <w:sz w:val="20"/>
                <w:szCs w:val="20"/>
              </w:rPr>
              <w:t xml:space="preserve">Department of Computer Science &amp; Engineering / Advanced Cryptography Lab</w:t>
            </w:r>
          </w:p>
        </w:tc>
      </w:tr>
      <w:tr>
        <w:tc>
          <w:tcPr>
            <w:tcW w:type="pct" w:w="30%"/>
            <w:shd w:fill="F2F2F2" w:val="clear"/>
            <w:tcMar>
              <w:top w:type="dxa" w:w="100"/>
              <w:left w:type="dxa" w:w="120"/>
              <w:bottom w:type="dxa" w:w="100"/>
              <w:right w:type="dxa" w:w="120"/>
            </w:tcMar>
          </w:tcPr>
          <w:p>
            <w:r>
              <w:rPr>
                <w:b/>
                <w:bCs/>
                <w:sz w:val="20"/>
                <w:szCs w:val="20"/>
              </w:rPr>
              <w:t xml:space="preserve">Academic Year &amp; Date:</w:t>
            </w:r>
          </w:p>
        </w:tc>
        <w:tc>
          <w:tcPr>
            <w:tcW w:type="pct" w:w="70%"/>
            <w:tcMar>
              <w:top w:type="dxa" w:w="100"/>
              <w:left w:type="dxa" w:w="120"/>
              <w:bottom w:type="dxa" w:w="100"/>
              <w:right w:type="dxa" w:w="120"/>
            </w:tcMar>
          </w:tcPr>
          <w:p>
            <w:r>
              <w:rPr>
                <w:sz w:val="20"/>
                <w:szCs w:val="20"/>
              </w:rPr>
              <w:t xml:space="preserve">Academic Year 2025-2026 | Submission Date: August 2026</w:t>
            </w:r>
          </w:p>
        </w:tc>
      </w:tr>
      <w:tr>
        <w:tc>
          <w:tcPr>
            <w:tcW w:type="pct" w:w="30%"/>
            <w:shd w:fill="F2F2F2" w:val="clear"/>
            <w:tcMar>
              <w:top w:type="dxa" w:w="100"/>
              <w:left w:type="dxa" w:w="120"/>
              <w:bottom w:type="dxa" w:w="100"/>
              <w:right w:type="dxa" w:w="120"/>
            </w:tcMar>
          </w:tcPr>
          <w:p>
            <w:r>
              <w:rPr>
                <w:b/>
                <w:bCs/>
                <w:sz w:val="20"/>
                <w:szCs w:val="20"/>
              </w:rPr>
              <w:t xml:space="preserve">Invention Classification:</w:t>
            </w:r>
          </w:p>
        </w:tc>
        <w:tc>
          <w:tcPr>
            <w:tcW w:type="pct" w:w="70%"/>
            <w:tcMar>
              <w:top w:type="dxa" w:w="100"/>
              <w:left w:type="dxa" w:w="120"/>
              <w:bottom w:type="dxa" w:w="100"/>
              <w:right w:type="dxa" w:w="120"/>
            </w:tcMar>
          </w:tcPr>
          <w:p>
            <w:r>
              <w:rPr>
                <w:sz w:val="20"/>
                <w:szCs w:val="20"/>
              </w:rPr>
              <w:t xml:space="preserve">Computer-Related Invention (CRI) - Applied Cryptography &amp; Distributed Ledgers</w:t>
            </w:r>
          </w:p>
        </w:tc>
      </w:tr>
      <w:tr>
        <w:tc>
          <w:tcPr>
            <w:tcW w:type="pct" w:w="30%"/>
            <w:shd w:fill="F2F2F2" w:val="clear"/>
            <w:tcMar>
              <w:top w:type="dxa" w:w="100"/>
              <w:left w:type="dxa" w:w="120"/>
              <w:bottom w:type="dxa" w:w="100"/>
              <w:right w:type="dxa" w:w="120"/>
            </w:tcMar>
          </w:tcPr>
          <w:p>
            <w:r>
              <w:rPr>
                <w:b/>
                <w:bCs/>
                <w:sz w:val="20"/>
                <w:szCs w:val="20"/>
              </w:rPr>
              <w:t xml:space="preserve">Document Status:</w:t>
            </w:r>
          </w:p>
        </w:tc>
        <w:tc>
          <w:tcPr>
            <w:tcW w:type="pct" w:w="70%"/>
            <w:tcMar>
              <w:top w:type="dxa" w:w="100"/>
              <w:left w:type="dxa" w:w="120"/>
              <w:bottom w:type="dxa" w:w="100"/>
              <w:right w:type="dxa" w:w="120"/>
            </w:tcMar>
          </w:tcPr>
          <w:p>
            <w:r>
              <w:rPr>
                <w:sz w:val="20"/>
                <w:szCs w:val="20"/>
              </w:rPr>
              <w:t xml:space="preserve">DRAFT TECHNICAL DISCLOSURE - Prepared by the inventor for review and formal drafting by a Registered Patent Agent. This document is NOT a completed patent specification and has not been filed with, or reviewed by, the Indian Patent Office. It does not carry attorney-client privilege unless and until a retained patent agent/attorney has reviewed it.</w:t>
            </w:r>
          </w:p>
        </w:tc>
      </w:tr>
    </w:tbl>
    <w:p>
      <w:r>
        <w:br w:type="page"/>
      </w:r>
    </w:p>
    <w:p>
      <w:pPr>
        <w:pStyle w:val="Heading1"/>
        <w:spacing w:after="160" w:before="320"/>
      </w:pPr>
      <w:r>
        <w:t xml:space="preserve">1. Project Overview</w:t>
      </w:r>
    </w:p>
    <w:p>
      <w:pPr>
        <w:spacing w:after="160" w:line="276"/>
        <w:jc w:val="both"/>
      </w:pPr>
      <w:r>
        <w:t xml:space="preserve">ZERO-ID is an end-to-end cryptographic digital identity verification infrastructure designed to reconcile three objectives that are often in tension: user privacy, Know Your Customer (KYC) regulatory compliance, and operational efficiency. The system is architected so that identity-proving computations run on the citizen's own device, avoiding centralized storage of raw Personally Identifiable Information (PII) by the verifying party.</w:t>
      </w:r>
    </w:p>
    <w:p>
      <w:pPr>
        <w:spacing w:after="160" w:line="276"/>
        <w:jc w:val="both"/>
      </w:pPr>
      <w:r>
        <w:t xml:space="preserve">Contemporary digital identity verification - for banking onboarding, SIM card issuance, hotel check-in, or age-gated services - commonly requires transmission and long-term storage of unredacted government identity documents (Aadhaar XML/PDF, PAN, Passport) in enterprise databases. Under India's Digital Personal Data Protection (DPDP) Act 2023 (Section 33), data fiduciaries face statutory penalties of up to INR 250 Crores per breach incident for exposing personal data. This centralized storage model concentrates both liability and privacy risk in a single point of failure.</w:t>
      </w:r>
    </w:p>
    <w:p>
      <w:pPr>
        <w:spacing w:after="160" w:line="276"/>
        <w:jc w:val="both"/>
      </w:pPr>
      <w:r>
        <w:t xml:space="preserve">ZERO-ID addresses this through four interlocking cryptographic components:</w:t>
      </w:r>
    </w:p>
    <w:p>
      <w:pPr>
        <w:pStyle w:val="ListParagraph"/>
        <w:numPr>
          <w:ilvl w:val="0"/>
          <w:numId w:val="1"/>
        </w:numPr>
        <w:spacing w:after="100" w:line="276"/>
      </w:pPr>
      <w:r>
        <w:t xml:space="preserve">1. Client-side Groth16 zero-knowledge proof generation over the BN254 elliptic curve, compiled to WebAssembly and executing within the citizen's browser (measured proving time detailed in Section 12).</w:t>
      </w:r>
    </w:p>
    <w:p>
      <w:pPr>
        <w:pStyle w:val="ListParagraph"/>
        <w:numPr>
          <w:ilvl w:val="0"/>
          <w:numId w:val="1"/>
        </w:numPr>
        <w:spacing w:after="100" w:line="276"/>
      </w:pPr>
      <w:r>
        <w:t xml:space="preserve">2. Hardware-enclave parameter hash-chaining via W3C WebAuthn / FIDO2, binding proof presentation to non-exportable ECDSA-P256 keys inside Apple Secure Enclaves, Android Titan M2 chips, or Windows TPM 2.0 modules.</w:t>
      </w:r>
    </w:p>
    <w:p>
      <w:pPr>
        <w:pStyle w:val="ListParagraph"/>
        <w:numPr>
          <w:ilvl w:val="0"/>
          <w:numId w:val="1"/>
        </w:numPr>
        <w:spacing w:after="100" w:line="276"/>
      </w:pPr>
      <w:r>
        <w:t xml:space="preserve">3. Constant-time O(1) decentralized revocation using Algorand Layer-1 Box Storage, achieving global credential invalidation in a measured average of 3.80 seconds on Algorand TestNet (Section 12).</w:t>
      </w:r>
    </w:p>
    <w:p>
      <w:pPr>
        <w:pStyle w:val="ListParagraph"/>
        <w:numPr>
          <w:ilvl w:val="0"/>
          <w:numId w:val="1"/>
        </w:numPr>
        <w:spacing w:after="100" w:line="276"/>
      </w:pPr>
      <w:r>
        <w:t xml:space="preserve">4. A verifier-side data-minimization architecture: the relying party verifier is not required to persist customer PII, and instead retains only a Boolean attestation outcome.</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6F1" w:val="clear"/>
            <w:tcMar>
              <w:top w:type="dxa" w:w="150"/>
              <w:left w:type="dxa" w:w="150"/>
              <w:bottom w:type="dxa" w:w="150"/>
              <w:right w:type="dxa" w:w="150"/>
            </w:tcMar>
          </w:tcPr>
          <w:p>
            <w:pPr>
              <w:spacing w:after="0"/>
            </w:pPr>
            <w:r>
              <w:rPr>
                <w:b/>
                <w:bCs/>
              </w:rPr>
              <w:t xml:space="preserve">CORE VALUE PROPOSITION: ZERO-ID is designed for a zero-byte verifier PII footprint, substantially mitigates proof-forwarding (Sybil) attacks via hardware-enclave parameter chaining, reduces measured revocation propagation from the 15-30 minute range typical of EVM-based Layer-1 designs to a measured 3.80 seconds on Algorand TestNet, and compresses the cryptographic proof payload to 128 bytes (fitting a standard QR Version 4 code).</w:t>
            </w:r>
          </w:p>
        </w:tc>
      </w:tr>
    </w:tbl>
    <w:p>
      <w:pPr>
        <w:pStyle w:val="Heading1"/>
        <w:spacing w:after="160" w:before="320"/>
      </w:pPr>
      <w:r>
        <w:t xml:space="preserve">2. Problem Statement and Motivation</w:t>
      </w:r>
    </w:p>
    <w:p>
      <w:pPr>
        <w:spacing w:after="160" w:line="276"/>
        <w:jc w:val="both"/>
      </w:pPr>
      <w:r>
        <w:t xml:space="preserve">Digital identity ecosystems commonly operate under the assumption that verifying a fact about a person requires collecting and storing their entire identity record. This produces three recurring systemic issues.</w:t>
      </w:r>
    </w:p>
    <w:p>
      <w:pPr>
        <w:pStyle w:val="Heading2"/>
        <w:spacing w:after="120" w:before="240"/>
      </w:pPr>
      <w:r>
        <w:t xml:space="preserve">2.1 The Centralized Storage Problem</w:t>
      </w:r>
    </w:p>
    <w:p>
      <w:pPr>
        <w:spacing w:after="160" w:line="276"/>
        <w:jc w:val="both"/>
      </w:pPr>
      <w:r>
        <w:t xml:space="preserve">When a citizen opens a bank account or buys a SIM card in India, their raw Aadhaar XML is often archived in enterprise databases. These centralized PII stores are high-value targets: India has seen large-scale identity data exposure incidents in recent years. Under the DPDP Act 2023, each security lapse exposes the fiduciary to penalties of up to INR 250 Crores. Storing raw identity records is therefore both a security exposure and a compliance liability.</w:t>
      </w:r>
    </w:p>
    <w:p>
      <w:pPr>
        <w:pStyle w:val="Heading2"/>
        <w:spacing w:after="120" w:before="240"/>
      </w:pPr>
      <w:r>
        <w:t xml:space="preserve">2.2 The Proof-Forwarding Vulnerability (Sybil Risk)</w:t>
      </w:r>
    </w:p>
    <w:p>
      <w:pPr>
        <w:spacing w:after="160" w:line="276"/>
        <w:jc w:val="both"/>
      </w:pPr>
      <w:r>
        <w:t xml:space="preserve">Existing zero-knowledge KYC protocols (e.g., Anon Aadhaar, Sismo, and generic Groth16/PLONK implementations reviewed by the inventors) typically produce proofs that are portable JSON strings. If Citizen A generates a valid 128-byte proof asserting Age &gt;= 18, that proof can in principle be forwarded via messaging channels to Citizen B, who could present it to gain unauthorized access, unless the proof is bound to a specific device or session. Based on the inventors' review, deployed ZK-KYC systems do not commonly bind proofs to a specific physical device without relying on expensive proprietary biometric hardware (e.g., Worldcoin's Orb scanners).</w:t>
      </w:r>
    </w:p>
    <w:p>
      <w:pPr>
        <w:pStyle w:val="Heading2"/>
        <w:spacing w:after="120" w:before="240"/>
      </w:pPr>
      <w:r>
        <w:t xml:space="preserve">2.3 The Revocation Bottleneck</w:t>
      </w:r>
    </w:p>
    <w:p>
      <w:pPr>
        <w:spacing w:after="160" w:line="276"/>
        <w:jc w:val="both"/>
      </w:pPr>
      <w:r>
        <w:t xml:space="preserve">Decentralized identity frameworks such as Polygon ID / Iden3 manage revocation through on-chain Sparse Merkle Tree (SMT) accumulators (depth 20-40). When a credential is revoked, the issuer must recompute the tree root and broadcast it, and non-revoked users may need to re-download witness membership paths - a process that on Ethereum L1 has historically involved multi-minute settlement latencies and variable gas fees. This is a meaningful constraint for identity systems operating at national scale.</w:t>
      </w:r>
    </w:p>
    <w:p>
      <w:pPr>
        <w:pStyle w:val="Heading2"/>
        <w:spacing w:after="120" w:before="240"/>
      </w:pPr>
      <w:r>
        <w:t xml:space="preserve">Comparative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Domain / Prior Art</w:t>
            </w:r>
          </w:p>
        </w:tc>
        <w:tc>
          <w:tcPr>
            <w:shd w:fill="1F4E79" w:val="clear"/>
            <w:tcMar>
              <w:top w:type="dxa" w:w="80"/>
              <w:left w:type="dxa" w:w="100"/>
              <w:bottom w:type="dxa" w:w="80"/>
              <w:right w:type="dxa" w:w="100"/>
            </w:tcMar>
          </w:tcPr>
          <w:p>
            <w:pPr>
              <w:spacing w:after="0"/>
            </w:pPr>
            <w:r>
              <w:rPr>
                <w:b/>
                <w:bCs/>
                <w:color w:val="FFFFFF"/>
                <w:sz w:val="19"/>
                <w:szCs w:val="19"/>
              </w:rPr>
              <w:t xml:space="preserve">Identified Limitation</w:t>
            </w:r>
          </w:p>
        </w:tc>
        <w:tc>
          <w:tcPr>
            <w:shd w:fill="1F4E79" w:val="clear"/>
            <w:tcMar>
              <w:top w:type="dxa" w:w="80"/>
              <w:left w:type="dxa" w:w="100"/>
              <w:bottom w:type="dxa" w:w="80"/>
              <w:right w:type="dxa" w:w="100"/>
            </w:tcMar>
          </w:tcPr>
          <w:p>
            <w:pPr>
              <w:spacing w:after="0"/>
            </w:pPr>
            <w:r>
              <w:rPr>
                <w:b/>
                <w:bCs/>
                <w:color w:val="FFFFFF"/>
                <w:sz w:val="19"/>
                <w:szCs w:val="19"/>
              </w:rPr>
              <w:t xml:space="preserve">ZERO-ID Approach</w:t>
            </w:r>
          </w:p>
        </w:tc>
      </w:tr>
      <w:tr>
        <w:tc>
          <w:tcPr>
            <w:tcW w:type="auto" w:w="1"/>
            <w:tcMar>
              <w:top w:type="dxa" w:w="80"/>
              <w:left w:type="dxa" w:w="100"/>
              <w:bottom w:type="dxa" w:w="80"/>
              <w:right w:type="dxa" w:w="100"/>
            </w:tcMar>
          </w:tcPr>
          <w:p>
            <w:pPr>
              <w:spacing w:after="0"/>
            </w:pPr>
            <w:r>
              <w:rPr>
                <w:b w:val="false"/>
                <w:bCs w:val="false"/>
                <w:sz w:val="19"/>
                <w:szCs w:val="19"/>
              </w:rPr>
              <w:t xml:space="preserve">Centralized KYC (DigiLocker / CKYC)</w:t>
            </w:r>
          </w:p>
        </w:tc>
        <w:tc>
          <w:tcPr>
            <w:tcW w:type="auto" w:w="1"/>
            <w:tcMar>
              <w:top w:type="dxa" w:w="80"/>
              <w:left w:type="dxa" w:w="100"/>
              <w:bottom w:type="dxa" w:w="80"/>
              <w:right w:type="dxa" w:w="100"/>
            </w:tcMar>
          </w:tcPr>
          <w:p>
            <w:pPr>
              <w:spacing w:after="0"/>
            </w:pPr>
            <w:r>
              <w:rPr>
                <w:b w:val="false"/>
                <w:bCs w:val="false"/>
                <w:sz w:val="19"/>
                <w:szCs w:val="19"/>
              </w:rPr>
              <w:t xml:space="preserve">Stores substantial raw PII per user; breach liability under DPDP S.33.</w:t>
            </w:r>
          </w:p>
        </w:tc>
        <w:tc>
          <w:tcPr>
            <w:tcW w:type="auto" w:w="1"/>
            <w:tcMar>
              <w:top w:type="dxa" w:w="80"/>
              <w:left w:type="dxa" w:w="100"/>
              <w:bottom w:type="dxa" w:w="80"/>
              <w:right w:type="dxa" w:w="100"/>
            </w:tcMar>
          </w:tcPr>
          <w:p>
            <w:pPr>
              <w:spacing w:after="0"/>
            </w:pPr>
            <w:r>
              <w:rPr>
                <w:b w:val="false"/>
                <w:bCs w:val="false"/>
                <w:sz w:val="19"/>
                <w:szCs w:val="19"/>
              </w:rPr>
              <w:t xml:space="preserve">Client-side proving; verifier does not persist raw PII.</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Generic ZK-KYC (Anon Aadhaar / Sismo)</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Portable proof JSON can potentially be shared/reused absent device binding.</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Hardware-enclave binding: Groth16 proof parameters chained into a FIDO2/TPM-signed challenge.</w:t>
            </w:r>
          </w:p>
        </w:tc>
      </w:tr>
      <w:tr>
        <w:tc>
          <w:tcPr>
            <w:tcW w:type="auto" w:w="1"/>
            <w:tcMar>
              <w:top w:type="dxa" w:w="80"/>
              <w:left w:type="dxa" w:w="100"/>
              <w:bottom w:type="dxa" w:w="80"/>
              <w:right w:type="dxa" w:w="100"/>
            </w:tcMar>
          </w:tcPr>
          <w:p>
            <w:pPr>
              <w:spacing w:after="0"/>
            </w:pPr>
            <w:r>
              <w:rPr>
                <w:b w:val="false"/>
                <w:bCs w:val="false"/>
                <w:sz w:val="19"/>
                <w:szCs w:val="19"/>
              </w:rPr>
              <w:t xml:space="preserve">EVM Frameworks (Polygon ID / Iden3)</w:t>
            </w:r>
          </w:p>
        </w:tc>
        <w:tc>
          <w:tcPr>
            <w:tcW w:type="auto" w:w="1"/>
            <w:tcMar>
              <w:top w:type="dxa" w:w="80"/>
              <w:left w:type="dxa" w:w="100"/>
              <w:bottom w:type="dxa" w:w="80"/>
              <w:right w:type="dxa" w:w="100"/>
            </w:tcMar>
          </w:tcPr>
          <w:p>
            <w:pPr>
              <w:spacing w:after="0"/>
            </w:pPr>
            <w:r>
              <w:rPr>
                <w:b w:val="false"/>
                <w:bCs w:val="false"/>
                <w:sz w:val="19"/>
                <w:szCs w:val="19"/>
              </w:rPr>
              <w:t xml:space="preserve">O(log N) Merkle Tree updates; multi-minute latency; variable gas fees.</w:t>
            </w:r>
          </w:p>
        </w:tc>
        <w:tc>
          <w:tcPr>
            <w:tcW w:type="auto" w:w="1"/>
            <w:tcMar>
              <w:top w:type="dxa" w:w="80"/>
              <w:left w:type="dxa" w:w="100"/>
              <w:bottom w:type="dxa" w:w="80"/>
              <w:right w:type="dxa" w:w="100"/>
            </w:tcMar>
          </w:tcPr>
          <w:p>
            <w:pPr>
              <w:spacing w:after="0"/>
            </w:pPr>
            <w:r>
              <w:rPr>
                <w:b w:val="false"/>
                <w:bCs w:val="false"/>
                <w:sz w:val="19"/>
                <w:szCs w:val="19"/>
              </w:rPr>
              <w:t xml:space="preserve">O(1) direct key-value Box Storage on Algorand; measured 3.80s finality (Section 12).</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Proprietary Biometrics (Worldcoin Orb)</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Requires specialized iris-scanning hardware; centralized custody model.</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Uses commodity FIDO2 authenticators already present on Apple/Android/Windows devices.</w:t>
            </w:r>
          </w:p>
        </w:tc>
      </w:tr>
    </w:tbl>
    <w:p>
      <w:pPr>
        <w:pStyle w:val="Heading1"/>
        <w:spacing w:after="160" w:before="320"/>
      </w:pPr>
      <w:r>
        <w:t xml:space="preserve">3. Novelty, Prior-Art Analysis, and Patentability</w:t>
      </w:r>
    </w:p>
    <w:p>
      <w:pPr>
        <w:spacing w:after="160" w:line="276"/>
        <w:jc w:val="both"/>
      </w:pPr>
      <w:r>
        <w:t xml:space="preserve">This section summarizes the inventors' comparison of ZERO-ID against prior art the team is aware of, and outlines the patentability argument under Indian law. This analysis reflects a targeted review by the inventors of the systems listed below and of readily available literature and documentation; it is not a substitute for, and should be followed by, a formal, professional prior-art search (conducted by a patent agent or a professional search service against InPASS, USPTO/Google Patents, WIPO PATENTSCOPE, and the relevant academic databases) before any claim of comprehensive novelty is relied upon in a filing.</w:t>
      </w:r>
    </w:p>
    <w:p>
      <w:pPr>
        <w:pStyle w:val="Heading2"/>
        <w:spacing w:after="120" w:before="240"/>
      </w:pPr>
      <w:r>
        <w:t xml:space="preserve">3.1 Prior-Art Comparison (Inventor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Prior-Art System</w:t>
            </w:r>
          </w:p>
        </w:tc>
        <w:tc>
          <w:tcPr>
            <w:shd w:fill="1F4E79" w:val="clear"/>
            <w:tcMar>
              <w:top w:type="dxa" w:w="80"/>
              <w:left w:type="dxa" w:w="100"/>
              <w:bottom w:type="dxa" w:w="80"/>
              <w:right w:type="dxa" w:w="100"/>
            </w:tcMar>
          </w:tcPr>
          <w:p>
            <w:pPr>
              <w:spacing w:after="0"/>
            </w:pPr>
            <w:r>
              <w:rPr>
                <w:b/>
                <w:bCs/>
                <w:color w:val="FFFFFF"/>
                <w:sz w:val="19"/>
                <w:szCs w:val="19"/>
              </w:rPr>
              <w:t xml:space="preserve">What It Does</w:t>
            </w:r>
          </w:p>
        </w:tc>
        <w:tc>
          <w:tcPr>
            <w:shd w:fill="1F4E79" w:val="clear"/>
            <w:tcMar>
              <w:top w:type="dxa" w:w="80"/>
              <w:left w:type="dxa" w:w="100"/>
              <w:bottom w:type="dxa" w:w="80"/>
              <w:right w:type="dxa" w:w="100"/>
            </w:tcMar>
          </w:tcPr>
          <w:p>
            <w:pPr>
              <w:spacing w:after="0"/>
            </w:pPr>
            <w:r>
              <w:rPr>
                <w:b/>
                <w:bCs/>
                <w:color w:val="FFFFFF"/>
                <w:sz w:val="19"/>
                <w:szCs w:val="19"/>
              </w:rPr>
              <w:t xml:space="preserve">Gap ZERO-ID Addresses</w:t>
            </w:r>
          </w:p>
        </w:tc>
      </w:tr>
      <w:tr>
        <w:tc>
          <w:tcPr>
            <w:tcW w:type="auto" w:w="1"/>
            <w:tcMar>
              <w:top w:type="dxa" w:w="80"/>
              <w:left w:type="dxa" w:w="100"/>
              <w:bottom w:type="dxa" w:w="80"/>
              <w:right w:type="dxa" w:w="100"/>
            </w:tcMar>
          </w:tcPr>
          <w:p>
            <w:pPr>
              <w:spacing w:after="0"/>
            </w:pPr>
            <w:r>
              <w:rPr>
                <w:b w:val="false"/>
                <w:bCs w:val="false"/>
                <w:sz w:val="19"/>
                <w:szCs w:val="19"/>
              </w:rPr>
              <w:t xml:space="preserve">Anon Aadhaar (PSE / Ethereum Foundation)</w:t>
            </w:r>
          </w:p>
        </w:tc>
        <w:tc>
          <w:tcPr>
            <w:tcW w:type="auto" w:w="1"/>
            <w:tcMar>
              <w:top w:type="dxa" w:w="80"/>
              <w:left w:type="dxa" w:w="100"/>
              <w:bottom w:type="dxa" w:w="80"/>
              <w:right w:type="dxa" w:w="100"/>
            </w:tcMar>
          </w:tcPr>
          <w:p>
            <w:pPr>
              <w:spacing w:after="0"/>
            </w:pPr>
            <w:r>
              <w:rPr>
                <w:b w:val="false"/>
                <w:bCs w:val="false"/>
                <w:sz w:val="19"/>
                <w:szCs w:val="19"/>
              </w:rPr>
              <w:t xml:space="preserve">Verifies UIDAI RSA signature inside a ZK-SNARK circuit; proves age/state attributes without disclosing the Aadhaar number.</w:t>
            </w:r>
          </w:p>
        </w:tc>
        <w:tc>
          <w:tcPr>
            <w:tcW w:type="auto" w:w="1"/>
            <w:tcMar>
              <w:top w:type="dxa" w:w="80"/>
              <w:left w:type="dxa" w:w="100"/>
              <w:bottom w:type="dxa" w:w="80"/>
              <w:right w:type="dxa" w:w="100"/>
            </w:tcMar>
          </w:tcPr>
          <w:p>
            <w:pPr>
              <w:spacing w:after="0"/>
            </w:pPr>
            <w:r>
              <w:rPr>
                <w:b w:val="false"/>
                <w:bCs w:val="false"/>
                <w:sz w:val="19"/>
                <w:szCs w:val="19"/>
              </w:rPr>
              <w:t xml:space="preserve">No device binding identified; proofs are portable JSON. No on-chain revocation mechanism.</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Polygon ID / Iden3</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Issues W3C Verifiable Credentials using Sparse Merkle Tree accumulators for revocation on Ethereum L1.</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O(log N) revocation with multi-minute latency and variable gas cost; no hardware-enclave coupling identified.</w:t>
            </w:r>
          </w:p>
        </w:tc>
      </w:tr>
      <w:tr>
        <w:tc>
          <w:tcPr>
            <w:tcW w:type="auto" w:w="1"/>
            <w:tcMar>
              <w:top w:type="dxa" w:w="80"/>
              <w:left w:type="dxa" w:w="100"/>
              <w:bottom w:type="dxa" w:w="80"/>
              <w:right w:type="dxa" w:w="100"/>
            </w:tcMar>
          </w:tcPr>
          <w:p>
            <w:pPr>
              <w:spacing w:after="0"/>
            </w:pPr>
            <w:r>
              <w:rPr>
                <w:b w:val="false"/>
                <w:bCs w:val="false"/>
                <w:sz w:val="19"/>
                <w:szCs w:val="19"/>
              </w:rPr>
              <w:t xml:space="preserve">Worldcoin (World ID)</w:t>
            </w:r>
          </w:p>
        </w:tc>
        <w:tc>
          <w:tcPr>
            <w:tcW w:type="auto" w:w="1"/>
            <w:tcMar>
              <w:top w:type="dxa" w:w="80"/>
              <w:left w:type="dxa" w:w="100"/>
              <w:bottom w:type="dxa" w:w="80"/>
              <w:right w:type="dxa" w:w="100"/>
            </w:tcMar>
          </w:tcPr>
          <w:p>
            <w:pPr>
              <w:spacing w:after="0"/>
            </w:pPr>
            <w:r>
              <w:rPr>
                <w:b w:val="false"/>
                <w:bCs w:val="false"/>
                <w:sz w:val="19"/>
                <w:szCs w:val="19"/>
              </w:rPr>
              <w:t xml:space="preserve">Iris-based biometric proof-of-personhood using the Semaphore protocol and Orb hardware.</w:t>
            </w:r>
          </w:p>
        </w:tc>
        <w:tc>
          <w:tcPr>
            <w:tcW w:type="auto" w:w="1"/>
            <w:tcMar>
              <w:top w:type="dxa" w:w="80"/>
              <w:left w:type="dxa" w:w="100"/>
              <w:bottom w:type="dxa" w:w="80"/>
              <w:right w:type="dxa" w:w="100"/>
            </w:tcMar>
          </w:tcPr>
          <w:p>
            <w:pPr>
              <w:spacing w:after="0"/>
            </w:pPr>
            <w:r>
              <w:rPr>
                <w:b w:val="false"/>
                <w:bCs w:val="false"/>
                <w:sz w:val="19"/>
                <w:szCs w:val="19"/>
              </w:rPr>
              <w:t xml:space="preserve">Requires proprietary scanner hardware and centralized biometric enrollment; not designed for government-credential ingestion.</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FIDO-AC (Yeoh et al., USENIX '23)</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Extends FIDO2 with ZK attribute proofs from ePassports using BBS+ signatures.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Uses BBS+ rather than Groth16; no on-chain revocation or Algorand integration identified.</w:t>
            </w:r>
          </w:p>
        </w:tc>
      </w:tr>
      <w:tr>
        <w:tc>
          <w:tcPr>
            <w:tcW w:type="auto" w:w="1"/>
            <w:tcMar>
              <w:top w:type="dxa" w:w="80"/>
              <w:left w:type="dxa" w:w="100"/>
              <w:bottom w:type="dxa" w:w="80"/>
              <w:right w:type="dxa" w:w="100"/>
            </w:tcMar>
          </w:tcPr>
          <w:p>
            <w:pPr>
              <w:spacing w:after="0"/>
            </w:pPr>
            <w:r>
              <w:rPr>
                <w:b w:val="false"/>
                <w:bCs w:val="false"/>
                <w:sz w:val="19"/>
                <w:szCs w:val="19"/>
              </w:rPr>
              <w:t xml:space="preserve">Cloudflare Private Access Tokens (PAT)</w:t>
            </w:r>
          </w:p>
        </w:tc>
        <w:tc>
          <w:tcPr>
            <w:tcW w:type="auto" w:w="1"/>
            <w:tcMar>
              <w:top w:type="dxa" w:w="80"/>
              <w:left w:type="dxa" w:w="100"/>
              <w:bottom w:type="dxa" w:w="80"/>
              <w:right w:type="dxa" w:w="100"/>
            </w:tcMar>
          </w:tcPr>
          <w:p>
            <w:pPr>
              <w:spacing w:after="0"/>
            </w:pPr>
            <w:r>
              <w:rPr>
                <w:b w:val="false"/>
                <w:bCs w:val="false"/>
                <w:sz w:val="19"/>
                <w:szCs w:val="19"/>
              </w:rPr>
              <w:t xml:space="preserve">Uses ZKPs for privacy-preserving device attestation for bot mitigation.</w:t>
            </w:r>
          </w:p>
        </w:tc>
        <w:tc>
          <w:tcPr>
            <w:tcW w:type="auto" w:w="1"/>
            <w:tcMar>
              <w:top w:type="dxa" w:w="80"/>
              <w:left w:type="dxa" w:w="100"/>
              <w:bottom w:type="dxa" w:w="80"/>
              <w:right w:type="dxa" w:w="100"/>
            </w:tcMar>
          </w:tcPr>
          <w:p>
            <w:pPr>
              <w:spacing w:after="0"/>
            </w:pPr>
            <w:r>
              <w:rPr>
                <w:b w:val="false"/>
                <w:bCs w:val="false"/>
                <w:sz w:val="19"/>
                <w:szCs w:val="19"/>
              </w:rPr>
              <w:t xml:space="preserve">Authentication/anti-bot focused; not designed for identity/KYC credential verification or revocation.</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TIP Protocol</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Uses secure-enclave-derived pepper values for deduplication in proof-of-personhood systems.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No ZK proof of government credentials or on-chain pairing verification identified; no decentralized revocation.</w:t>
            </w:r>
          </w:p>
        </w:tc>
      </w:tr>
    </w:tbl>
    <w:p>
      <w:pPr>
        <w:pStyle w:val="Heading2"/>
        <w:spacing w:after="120" w:before="240"/>
      </w:pPr>
      <w:r>
        <w:t xml:space="preserve">3.2 Candidate Inventive Steps</w:t>
      </w:r>
    </w:p>
    <w:p>
      <w:pPr>
        <w:spacing w:after="160" w:line="276"/>
        <w:jc w:val="both"/>
      </w:pPr>
      <w:r>
        <w:t xml:space="preserve">Based on the inventors' review, the following combination was not found, as a combination, in the prior art reviewed above. This is a candidate novelty position to be validated by a professional prior-art search:</w:t>
      </w:r>
    </w:p>
    <w:p>
      <w:pPr>
        <w:pStyle w:val="ListParagraph"/>
        <w:numPr>
          <w:ilvl w:val="0"/>
          <w:numId w:val="1"/>
        </w:numPr>
        <w:spacing w:after="100" w:line="276"/>
      </w:pPr>
      <w:r>
        <w:t xml:space="preserve">Inventive Step 1 - Hardware-Enclave Parameter Hash-Chaining for ZK Proofs: ZERO-ID computes Challenge = SHA-256(Proof_A || Proof_B || Proof_C || NullifierHash || Timestamp || VerifierID) and signs this composite digest using a non-exportable ECDSA-P256 key inside the device's hardware secure enclave, gated by biometric authentication. This cryptographically binds the ZK proof to the specific physical device that generated it, substantially reducing the risk of proof forwarding between devices without requiring specialized biometric hardware.</w:t>
      </w:r>
    </w:p>
    <w:p>
      <w:pPr>
        <w:pStyle w:val="ListParagraph"/>
        <w:numPr>
          <w:ilvl w:val="0"/>
          <w:numId w:val="1"/>
        </w:numPr>
        <w:spacing w:after="100" w:line="276"/>
      </w:pPr>
      <w:r>
        <w:t xml:space="preserve">Inventive Step 2 - Constant-Time O(1) Decentralized Revocation via Flat Key-Value Box Storage: Rather than O(log N) Merkle tree accumulators, ZERO-ID writes a 1-byte revocation flag to an Algorand Layer-1 Box Storage slot indexed directly by the 32-byte Poseidon nullifier hash, enabling O(1) lookups with the propagation latency measured in Section 12.</w:t>
      </w:r>
    </w:p>
    <w:p>
      <w:pPr>
        <w:pStyle w:val="ListParagraph"/>
        <w:numPr>
          <w:ilvl w:val="0"/>
          <w:numId w:val="1"/>
        </w:numPr>
        <w:spacing w:after="100" w:line="276"/>
      </w:pPr>
      <w:r>
        <w:t xml:space="preserve">Inventive Step 3 - Client-Side Proving with Ephemeral-Memory Handling for Government-Signed XML Credentials: ZERO-ID ingests UIDAI RSA-2048 signed e-KYC XML files, verifies the signature locally in browser memory, extracts private witness attributes, generates a Groth16 proof in WASM, and clears the raw credential buffers from memory before the proof leaves the device.</w:t>
      </w:r>
    </w:p>
    <w:p>
      <w:pPr>
        <w:pStyle w:val="Heading2"/>
        <w:spacing w:after="120" w:before="240"/>
      </w:pPr>
      <w:r>
        <w:t xml:space="preserve">3.3 Patentability Under Indian Law</w:t>
      </w:r>
    </w:p>
    <w:p>
      <w:pPr>
        <w:spacing w:after="160" w:line="276"/>
        <w:jc w:val="both"/>
      </w:pPr>
      <w:r>
        <w:t xml:space="preserve">Section 3(k) of the Indian Patents Act 1970 excludes 'a computer programme per se' from patentability. The Delhi High Court's judgment in Ferid Allani v. Union of India (2019) held that computer-related inventions demonstrating a concrete 'technical effect' or 'technical contribution' are patentable, and the CRI Guidelines identify improvements to device efficiency, communication speed, security, or memory utilization as examples of patentable technical effects.</w:t>
      </w:r>
    </w:p>
    <w:p>
      <w:pPr>
        <w:spacing w:after="160" w:line="276"/>
        <w:jc w:val="both"/>
      </w:pPr>
      <w:r>
        <w:t xml:space="preserve">The inventors' position is that ZERO-ID demonstrates measurable technical effects relevant to the Section 3(k) / Ferid Allani test (see Section 12 for methodology and data):</w:t>
      </w:r>
    </w:p>
    <w:p>
      <w:pPr>
        <w:pStyle w:val="ListParagraph"/>
        <w:numPr>
          <w:ilvl w:val="0"/>
          <w:numId w:val="1"/>
        </w:numPr>
        <w:spacing w:after="100" w:line="276"/>
      </w:pPr>
      <w:r>
        <w:t xml:space="preserve">1. Revocation lookup complexity reduced from O(log N) to O(1) - an algorithmic change in computational state access.</w:t>
      </w:r>
    </w:p>
    <w:p>
      <w:pPr>
        <w:pStyle w:val="ListParagraph"/>
        <w:numPr>
          <w:ilvl w:val="0"/>
          <w:numId w:val="1"/>
        </w:numPr>
        <w:spacing w:after="100" w:line="276"/>
      </w:pPr>
      <w:r>
        <w:t xml:space="preserve">2. Revocation propagation latency measured at 3.80s on Algorand TestNet, against a several-hundred-to-thousand-second range typically associated with EVM L1 Merkle-based settlement.</w:t>
      </w:r>
    </w:p>
    <w:p>
      <w:pPr>
        <w:pStyle w:val="ListParagraph"/>
        <w:numPr>
          <w:ilvl w:val="0"/>
          <w:numId w:val="1"/>
        </w:numPr>
        <w:spacing w:after="100" w:line="276"/>
      </w:pPr>
      <w:r>
        <w:t xml:space="preserve">3. Proof transmission payload of 128 bytes (Groth16/BN254), materially smaller than the tens of kilobytes typical of STARK-based systems - relevant to bandwidth-constrained QR transmission.</w:t>
      </w:r>
    </w:p>
    <w:p>
      <w:pPr>
        <w:pStyle w:val="ListParagraph"/>
        <w:numPr>
          <w:ilvl w:val="0"/>
          <w:numId w:val="1"/>
        </w:numPr>
        <w:spacing w:after="100" w:line="276"/>
      </w:pPr>
      <w:r>
        <w:t xml:space="preserve">4. A verifier-side architecture designed so that persistent storage of customer PII is not required, reducing the verifier's data-breach exposure relative to systems that retain full identity documents.</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6F1" w:val="clear"/>
            <w:tcMar>
              <w:top w:type="dxa" w:w="150"/>
              <w:left w:type="dxa" w:w="150"/>
              <w:bottom w:type="dxa" w:w="150"/>
              <w:right w:type="dxa" w:w="150"/>
            </w:tcMar>
          </w:tcPr>
          <w:p>
            <w:pPr>
              <w:spacing w:after="0"/>
            </w:pPr>
            <w:r>
              <w:rPr>
                <w:b/>
                <w:bCs/>
              </w:rPr>
              <w:t xml:space="preserve">PATENTABILITY POSITION (inventor's argument, subject to review by a registered patent agent): ZERO-ID is presented as a cryptographic apparatus and method producing measurable technical effects in computational complexity, communication latency, bandwidth efficiency, and verifier-side data handling - consistent with the Ferid Allani / CRI patentability threshold. This position, and the final claim language, should be validated by a registered patent agent before filing.</w:t>
            </w:r>
          </w:p>
        </w:tc>
      </w:tr>
    </w:tbl>
    <w:p>
      <w:pPr>
        <w:pStyle w:val="Heading1"/>
        <w:spacing w:after="160" w:before="320"/>
      </w:pPr>
      <w:r>
        <w:t xml:space="preserve">4. Research and Conceptual Development</w:t>
      </w:r>
    </w:p>
    <w:p>
      <w:pPr>
        <w:pStyle w:val="Heading2"/>
        <w:spacing w:after="120" w:before="240"/>
      </w:pPr>
      <w:r>
        <w:t xml:space="preserve">4.1 Proving System Selection: Groth16 vs. Alternatives</w:t>
      </w:r>
    </w:p>
    <w:p>
      <w:pPr>
        <w:spacing w:after="160" w:line="276"/>
        <w:jc w:val="both"/>
      </w:pPr>
      <w:r>
        <w:t xml:space="preserve">The research team evaluated four candidate ZK proving systems against the requirements of mobile web execution, QR-code transmissibility (target: under 3 KB payload), and on-chain verification opcode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Proof System</w:t>
            </w:r>
          </w:p>
        </w:tc>
        <w:tc>
          <w:tcPr>
            <w:shd w:fill="1F4E79" w:val="clear"/>
            <w:tcMar>
              <w:top w:type="dxa" w:w="80"/>
              <w:left w:type="dxa" w:w="100"/>
              <w:bottom w:type="dxa" w:w="80"/>
              <w:right w:type="dxa" w:w="100"/>
            </w:tcMar>
          </w:tcPr>
          <w:p>
            <w:pPr>
              <w:spacing w:after="0"/>
            </w:pPr>
            <w:r>
              <w:rPr>
                <w:b/>
                <w:bCs/>
                <w:color w:val="FFFFFF"/>
                <w:sz w:val="19"/>
                <w:szCs w:val="19"/>
              </w:rPr>
              <w:t xml:space="preserve">Proof Size</w:t>
            </w:r>
          </w:p>
        </w:tc>
        <w:tc>
          <w:tcPr>
            <w:shd w:fill="1F4E79" w:val="clear"/>
            <w:tcMar>
              <w:top w:type="dxa" w:w="80"/>
              <w:left w:type="dxa" w:w="100"/>
              <w:bottom w:type="dxa" w:w="80"/>
              <w:right w:type="dxa" w:w="100"/>
            </w:tcMar>
          </w:tcPr>
          <w:p>
            <w:pPr>
              <w:spacing w:after="0"/>
            </w:pPr>
            <w:r>
              <w:rPr>
                <w:b/>
                <w:bCs/>
                <w:color w:val="FFFFFF"/>
                <w:sz w:val="19"/>
                <w:szCs w:val="19"/>
              </w:rPr>
              <w:t xml:space="preserve">Verification Time</w:t>
            </w:r>
          </w:p>
        </w:tc>
        <w:tc>
          <w:tcPr>
            <w:shd w:fill="1F4E79" w:val="clear"/>
            <w:tcMar>
              <w:top w:type="dxa" w:w="80"/>
              <w:left w:type="dxa" w:w="100"/>
              <w:bottom w:type="dxa" w:w="80"/>
              <w:right w:type="dxa" w:w="100"/>
            </w:tcMar>
          </w:tcPr>
          <w:p>
            <w:pPr>
              <w:spacing w:after="0"/>
            </w:pPr>
            <w:r>
              <w:rPr>
                <w:b/>
                <w:bCs/>
                <w:color w:val="FFFFFF"/>
                <w:sz w:val="19"/>
                <w:szCs w:val="19"/>
              </w:rPr>
              <w:t xml:space="preserve">On-Chain Opcode</w:t>
            </w:r>
          </w:p>
        </w:tc>
        <w:tc>
          <w:tcPr>
            <w:shd w:fill="1F4E79" w:val="clear"/>
            <w:tcMar>
              <w:top w:type="dxa" w:w="80"/>
              <w:left w:type="dxa" w:w="100"/>
              <w:bottom w:type="dxa" w:w="80"/>
              <w:right w:type="dxa" w:w="100"/>
            </w:tcMar>
          </w:tcPr>
          <w:p>
            <w:pPr>
              <w:spacing w:after="0"/>
            </w:pPr>
            <w:r>
              <w:rPr>
                <w:b/>
                <w:bCs/>
                <w:color w:val="FFFFFF"/>
                <w:sz w:val="19"/>
                <w:szCs w:val="19"/>
              </w:rPr>
              <w:t xml:space="preserve">Mobile QR Fit</w:t>
            </w:r>
          </w:p>
        </w:tc>
      </w:tr>
      <w:tr>
        <w:tc>
          <w:tcPr>
            <w:tcW w:type="auto" w:w="1"/>
            <w:tcMar>
              <w:top w:type="dxa" w:w="80"/>
              <w:left w:type="dxa" w:w="100"/>
              <w:bottom w:type="dxa" w:w="80"/>
              <w:right w:type="dxa" w:w="100"/>
            </w:tcMar>
          </w:tcPr>
          <w:p>
            <w:pPr>
              <w:spacing w:after="0"/>
            </w:pPr>
            <w:r>
              <w:rPr>
                <w:b w:val="false"/>
                <w:bCs w:val="false"/>
                <w:sz w:val="19"/>
                <w:szCs w:val="19"/>
              </w:rPr>
              <w:t xml:space="preserve">Groth16 (BN254)</w:t>
            </w:r>
          </w:p>
        </w:tc>
        <w:tc>
          <w:tcPr>
            <w:tcW w:type="auto" w:w="1"/>
            <w:tcMar>
              <w:top w:type="dxa" w:w="80"/>
              <w:left w:type="dxa" w:w="100"/>
              <w:bottom w:type="dxa" w:w="80"/>
              <w:right w:type="dxa" w:w="100"/>
            </w:tcMar>
          </w:tcPr>
          <w:p>
            <w:pPr>
              <w:spacing w:after="0"/>
            </w:pPr>
            <w:r>
              <w:rPr>
                <w:b w:val="false"/>
                <w:bCs w:val="false"/>
                <w:sz w:val="19"/>
                <w:szCs w:val="19"/>
              </w:rPr>
              <w:t xml:space="preserve">128 B (constant)</w:t>
            </w:r>
          </w:p>
        </w:tc>
        <w:tc>
          <w:tcPr>
            <w:tcW w:type="auto" w:w="1"/>
            <w:tcMar>
              <w:top w:type="dxa" w:w="80"/>
              <w:left w:type="dxa" w:w="100"/>
              <w:bottom w:type="dxa" w:w="80"/>
              <w:right w:type="dxa" w:w="100"/>
            </w:tcMar>
          </w:tcPr>
          <w:p>
            <w:pPr>
              <w:spacing w:after="0"/>
            </w:pPr>
            <w:r>
              <w:rPr>
                <w:b w:val="false"/>
                <w:bCs w:val="false"/>
                <w:sz w:val="19"/>
                <w:szCs w:val="19"/>
              </w:rPr>
              <w:t xml:space="preserve">&lt;4 ms (3 pairings)</w:t>
            </w:r>
          </w:p>
        </w:tc>
        <w:tc>
          <w:tcPr>
            <w:tcW w:type="auto" w:w="1"/>
            <w:tcMar>
              <w:top w:type="dxa" w:w="80"/>
              <w:left w:type="dxa" w:w="100"/>
              <w:bottom w:type="dxa" w:w="80"/>
              <w:right w:type="dxa" w:w="100"/>
            </w:tcMar>
          </w:tcPr>
          <w:p>
            <w:pPr>
              <w:spacing w:after="0"/>
            </w:pPr>
            <w:r>
              <w:rPr>
                <w:b w:val="false"/>
                <w:bCs w:val="false"/>
                <w:sz w:val="19"/>
                <w:szCs w:val="19"/>
              </w:rPr>
              <w:t xml:space="preserve">Native bn254_pairing (AVM + EVM)</w:t>
            </w:r>
          </w:p>
        </w:tc>
        <w:tc>
          <w:tcPr>
            <w:tcW w:type="auto" w:w="1"/>
            <w:tcMar>
              <w:top w:type="dxa" w:w="80"/>
              <w:left w:type="dxa" w:w="100"/>
              <w:bottom w:type="dxa" w:w="80"/>
              <w:right w:type="dxa" w:w="100"/>
            </w:tcMar>
          </w:tcPr>
          <w:p>
            <w:pPr>
              <w:spacing w:after="0"/>
            </w:pPr>
            <w:r>
              <w:rPr>
                <w:b w:val="false"/>
                <w:bCs w:val="false"/>
                <w:sz w:val="19"/>
                <w:szCs w:val="19"/>
              </w:rPr>
              <w:t xml:space="preserve">Optimal (QR v4)</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PLONK (KZG)</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~450-800 B</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~12-25 ms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Polynomial opening required</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Moderate</w:t>
            </w:r>
          </w:p>
        </w:tc>
      </w:tr>
      <w:tr>
        <w:tc>
          <w:tcPr>
            <w:tcW w:type="auto" w:w="1"/>
            <w:tcMar>
              <w:top w:type="dxa" w:w="80"/>
              <w:left w:type="dxa" w:w="100"/>
              <w:bottom w:type="dxa" w:w="80"/>
              <w:right w:type="dxa" w:w="100"/>
            </w:tcMar>
          </w:tcPr>
          <w:p>
            <w:pPr>
              <w:spacing w:after="0"/>
            </w:pPr>
            <w:r>
              <w:rPr>
                <w:b w:val="false"/>
                <w:bCs w:val="false"/>
                <w:sz w:val="19"/>
                <w:szCs w:val="19"/>
              </w:rPr>
              <w:t xml:space="preserve">STARK (FRI)</w:t>
            </w:r>
          </w:p>
        </w:tc>
        <w:tc>
          <w:tcPr>
            <w:tcW w:type="auto" w:w="1"/>
            <w:tcMar>
              <w:top w:type="dxa" w:w="80"/>
              <w:left w:type="dxa" w:w="100"/>
              <w:bottom w:type="dxa" w:w="80"/>
              <w:right w:type="dxa" w:w="100"/>
            </w:tcMar>
          </w:tcPr>
          <w:p>
            <w:pPr>
              <w:spacing w:after="0"/>
            </w:pPr>
            <w:r>
              <w:rPr>
                <w:b w:val="false"/>
                <w:bCs w:val="false"/>
                <w:sz w:val="19"/>
                <w:szCs w:val="19"/>
              </w:rPr>
              <w:t xml:space="preserve">40-100 KB</w:t>
            </w:r>
          </w:p>
        </w:tc>
        <w:tc>
          <w:tcPr>
            <w:tcW w:type="auto" w:w="1"/>
            <w:tcMar>
              <w:top w:type="dxa" w:w="80"/>
              <w:left w:type="dxa" w:w="100"/>
              <w:bottom w:type="dxa" w:w="80"/>
              <w:right w:type="dxa" w:w="100"/>
            </w:tcMar>
          </w:tcPr>
          <w:p>
            <w:pPr>
              <w:spacing w:after="0"/>
            </w:pPr>
            <w:r>
              <w:rPr>
                <w:b w:val="false"/>
                <w:bCs w:val="false"/>
                <w:sz w:val="19"/>
                <w:szCs w:val="19"/>
              </w:rPr>
              <w:t xml:space="preserve">~50-120 ms</w:t>
            </w:r>
          </w:p>
        </w:tc>
        <w:tc>
          <w:tcPr>
            <w:tcW w:type="auto" w:w="1"/>
            <w:tcMar>
              <w:top w:type="dxa" w:w="80"/>
              <w:left w:type="dxa" w:w="100"/>
              <w:bottom w:type="dxa" w:w="80"/>
              <w:right w:type="dxa" w:w="100"/>
            </w:tcMar>
          </w:tcPr>
          <w:p>
            <w:pPr>
              <w:spacing w:after="0"/>
            </w:pPr>
            <w:r>
              <w:rPr>
                <w:b w:val="false"/>
                <w:bCs w:val="false"/>
                <w:sz w:val="19"/>
                <w:szCs w:val="19"/>
              </w:rPr>
              <w:t xml:space="preserve">High hash overhead</w:t>
            </w:r>
          </w:p>
        </w:tc>
        <w:tc>
          <w:tcPr>
            <w:tcW w:type="auto" w:w="1"/>
            <w:tcMar>
              <w:top w:type="dxa" w:w="80"/>
              <w:left w:type="dxa" w:w="100"/>
              <w:bottom w:type="dxa" w:w="80"/>
              <w:right w:type="dxa" w:w="100"/>
            </w:tcMar>
          </w:tcPr>
          <w:p>
            <w:pPr>
              <w:spacing w:after="0"/>
            </w:pPr>
            <w:r>
              <w:rPr>
                <w:b w:val="false"/>
                <w:bCs w:val="false"/>
                <w:sz w:val="19"/>
                <w:szCs w:val="19"/>
              </w:rPr>
              <w:t xml:space="preserve">Not usable (exceeds QR)</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Halo2 (IPA)</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~1.2-2 KB</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~30-60 ms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Complex recursion</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Poor</w:t>
            </w:r>
          </w:p>
        </w:tc>
      </w:tr>
    </w:tbl>
    <w:p>
      <w:pPr>
        <w:spacing w:after="160" w:line="276"/>
        <w:jc w:val="both"/>
      </w:pPr>
      <w:r>
        <w:t xml:space="preserve">Groth16 on BN254 was selected for its constant 128-byte proof payload (three elliptic curve group elements: A in G1, B in G2, C in G1), which fits within a standard QR Version 4 code (33x33 matrix, ~3 KB binary capacity) and maps to Algorand's native bn254_pairing AVM opcode for fast on-chain verification. The trusted-setup implications of Groth16 are addressed in Section 14 (Limitations).</w:t>
      </w:r>
    </w:p>
    <w:p>
      <w:pPr>
        <w:pStyle w:val="Heading2"/>
        <w:spacing w:after="120" w:before="240"/>
      </w:pPr>
      <w:r>
        <w:t xml:space="preserve">4.2 Consensus Layer Selection: Algorand vs.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Metric</w:t>
            </w:r>
          </w:p>
        </w:tc>
        <w:tc>
          <w:tcPr>
            <w:shd w:fill="1F4E79" w:val="clear"/>
            <w:tcMar>
              <w:top w:type="dxa" w:w="80"/>
              <w:left w:type="dxa" w:w="100"/>
              <w:bottom w:type="dxa" w:w="80"/>
              <w:right w:type="dxa" w:w="100"/>
            </w:tcMar>
          </w:tcPr>
          <w:p>
            <w:pPr>
              <w:spacing w:after="0"/>
            </w:pPr>
            <w:r>
              <w:rPr>
                <w:b/>
                <w:bCs/>
                <w:color w:val="FFFFFF"/>
                <w:sz w:val="19"/>
                <w:szCs w:val="19"/>
              </w:rPr>
              <w:t xml:space="preserve">Ethereum L1</w:t>
            </w:r>
          </w:p>
        </w:tc>
        <w:tc>
          <w:tcPr>
            <w:shd w:fill="1F4E79" w:val="clear"/>
            <w:tcMar>
              <w:top w:type="dxa" w:w="80"/>
              <w:left w:type="dxa" w:w="100"/>
              <w:bottom w:type="dxa" w:w="80"/>
              <w:right w:type="dxa" w:w="100"/>
            </w:tcMar>
          </w:tcPr>
          <w:p>
            <w:pPr>
              <w:spacing w:after="0"/>
            </w:pPr>
            <w:r>
              <w:rPr>
                <w:b/>
                <w:bCs/>
                <w:color w:val="FFFFFF"/>
                <w:sz w:val="19"/>
                <w:szCs w:val="19"/>
              </w:rPr>
              <w:t xml:space="preserve">Solana</w:t>
            </w:r>
          </w:p>
        </w:tc>
        <w:tc>
          <w:tcPr>
            <w:shd w:fill="1F4E79" w:val="clear"/>
            <w:tcMar>
              <w:top w:type="dxa" w:w="80"/>
              <w:left w:type="dxa" w:w="100"/>
              <w:bottom w:type="dxa" w:w="80"/>
              <w:right w:type="dxa" w:w="100"/>
            </w:tcMar>
          </w:tcPr>
          <w:p>
            <w:pPr>
              <w:spacing w:after="0"/>
            </w:pPr>
            <w:r>
              <w:rPr>
                <w:b/>
                <w:bCs/>
                <w:color w:val="FFFFFF"/>
                <w:sz w:val="19"/>
                <w:szCs w:val="19"/>
              </w:rPr>
              <w:t xml:space="preserve">Algorand L1</w:t>
            </w:r>
          </w:p>
        </w:tc>
      </w:tr>
      <w:tr>
        <w:tc>
          <w:tcPr>
            <w:tcW w:type="auto" w:w="1"/>
            <w:tcMar>
              <w:top w:type="dxa" w:w="80"/>
              <w:left w:type="dxa" w:w="100"/>
              <w:bottom w:type="dxa" w:w="80"/>
              <w:right w:type="dxa" w:w="100"/>
            </w:tcMar>
          </w:tcPr>
          <w:p>
            <w:pPr>
              <w:spacing w:after="0"/>
            </w:pPr>
            <w:r>
              <w:rPr>
                <w:b w:val="false"/>
                <w:bCs w:val="false"/>
                <w:sz w:val="19"/>
                <w:szCs w:val="19"/>
              </w:rPr>
              <w:t xml:space="preserve">Block Finality</w:t>
            </w:r>
          </w:p>
        </w:tc>
        <w:tc>
          <w:tcPr>
            <w:tcW w:type="auto" w:w="1"/>
            <w:tcMar>
              <w:top w:type="dxa" w:w="80"/>
              <w:left w:type="dxa" w:w="100"/>
              <w:bottom w:type="dxa" w:w="80"/>
              <w:right w:type="dxa" w:w="100"/>
            </w:tcMar>
          </w:tcPr>
          <w:p>
            <w:pPr>
              <w:spacing w:after="0"/>
            </w:pPr>
            <w:r>
              <w:rPr>
                <w:b w:val="false"/>
                <w:bCs w:val="false"/>
                <w:sz w:val="19"/>
                <w:szCs w:val="19"/>
              </w:rPr>
              <w:t xml:space="preserve">12-15 min (probabilistic)</w:t>
            </w:r>
          </w:p>
        </w:tc>
        <w:tc>
          <w:tcPr>
            <w:tcW w:type="auto" w:w="1"/>
            <w:tcMar>
              <w:top w:type="dxa" w:w="80"/>
              <w:left w:type="dxa" w:w="100"/>
              <w:bottom w:type="dxa" w:w="80"/>
              <w:right w:type="dxa" w:w="100"/>
            </w:tcMar>
          </w:tcPr>
          <w:p>
            <w:pPr>
              <w:spacing w:after="0"/>
            </w:pPr>
            <w:r>
              <w:rPr>
                <w:b w:val="false"/>
                <w:bCs w:val="false"/>
                <w:sz w:val="19"/>
                <w:szCs w:val="19"/>
              </w:rPr>
              <w:t xml:space="preserve">~12.8s (optimistic)</w:t>
            </w:r>
          </w:p>
        </w:tc>
        <w:tc>
          <w:tcPr>
            <w:tcW w:type="auto" w:w="1"/>
            <w:tcMar>
              <w:top w:type="dxa" w:w="80"/>
              <w:left w:type="dxa" w:w="100"/>
              <w:bottom w:type="dxa" w:w="80"/>
              <w:right w:type="dxa" w:w="100"/>
            </w:tcMar>
          </w:tcPr>
          <w:p>
            <w:pPr>
              <w:spacing w:after="0"/>
            </w:pPr>
            <w:r>
              <w:rPr>
                <w:b w:val="false"/>
                <w:bCs w:val="false"/>
                <w:sz w:val="19"/>
                <w:szCs w:val="19"/>
              </w:rPr>
              <w:t xml:space="preserve">3.80s (measured, deterministic)</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Transaction Fee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$2-$45 (variable)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$0.003 (variable)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$0.001 (fixed)</w:t>
            </w:r>
          </w:p>
        </w:tc>
      </w:tr>
      <w:tr>
        <w:tc>
          <w:tcPr>
            <w:tcW w:type="auto" w:w="1"/>
            <w:tcMar>
              <w:top w:type="dxa" w:w="80"/>
              <w:left w:type="dxa" w:w="100"/>
              <w:bottom w:type="dxa" w:w="80"/>
              <w:right w:type="dxa" w:w="100"/>
            </w:tcMar>
          </w:tcPr>
          <w:p>
            <w:pPr>
              <w:spacing w:after="0"/>
            </w:pPr>
            <w:r>
              <w:rPr>
                <w:b w:val="false"/>
                <w:bCs w:val="false"/>
                <w:sz w:val="19"/>
                <w:szCs w:val="19"/>
              </w:rPr>
              <w:t xml:space="preserve">ZK Opcode</w:t>
            </w:r>
          </w:p>
        </w:tc>
        <w:tc>
          <w:tcPr>
            <w:tcW w:type="auto" w:w="1"/>
            <w:tcMar>
              <w:top w:type="dxa" w:w="80"/>
              <w:left w:type="dxa" w:w="100"/>
              <w:bottom w:type="dxa" w:w="80"/>
              <w:right w:type="dxa" w:w="100"/>
            </w:tcMar>
          </w:tcPr>
          <w:p>
            <w:pPr>
              <w:spacing w:after="0"/>
            </w:pPr>
            <w:r>
              <w:rPr>
                <w:b w:val="false"/>
                <w:bCs w:val="false"/>
                <w:sz w:val="19"/>
                <w:szCs w:val="19"/>
              </w:rPr>
              <w:t xml:space="preserve">ecPairing (high gas cost)</w:t>
            </w:r>
          </w:p>
        </w:tc>
        <w:tc>
          <w:tcPr>
            <w:tcW w:type="auto" w:w="1"/>
            <w:tcMar>
              <w:top w:type="dxa" w:w="80"/>
              <w:left w:type="dxa" w:w="100"/>
              <w:bottom w:type="dxa" w:w="80"/>
              <w:right w:type="dxa" w:w="100"/>
            </w:tcMar>
          </w:tcPr>
          <w:p>
            <w:pPr>
              <w:spacing w:after="0"/>
            </w:pPr>
            <w:r>
              <w:rPr>
                <w:b w:val="false"/>
                <w:bCs w:val="false"/>
                <w:sz w:val="19"/>
                <w:szCs w:val="19"/>
              </w:rPr>
              <w:t xml:space="preserve">Custom BPF</w:t>
            </w:r>
          </w:p>
        </w:tc>
        <w:tc>
          <w:tcPr>
            <w:tcW w:type="auto" w:w="1"/>
            <w:tcMar>
              <w:top w:type="dxa" w:w="80"/>
              <w:left w:type="dxa" w:w="100"/>
              <w:bottom w:type="dxa" w:w="80"/>
              <w:right w:type="dxa" w:w="100"/>
            </w:tcMar>
          </w:tcPr>
          <w:p>
            <w:pPr>
              <w:spacing w:after="0"/>
            </w:pPr>
            <w:r>
              <w:rPr>
                <w:b w:val="false"/>
                <w:bCs w:val="false"/>
                <w:sz w:val="19"/>
                <w:szCs w:val="19"/>
              </w:rPr>
              <w:t xml:space="preserve">Native bn254_pairing</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Storage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Contract slots (expensive)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Account rent</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Box Storage (O(1) KV)</w:t>
            </w:r>
          </w:p>
        </w:tc>
      </w:tr>
      <w:tr>
        <w:tc>
          <w:tcPr>
            <w:tcW w:type="auto" w:w="1"/>
            <w:tcMar>
              <w:top w:type="dxa" w:w="80"/>
              <w:left w:type="dxa" w:w="100"/>
              <w:bottom w:type="dxa" w:w="80"/>
              <w:right w:type="dxa" w:w="100"/>
            </w:tcMar>
          </w:tcPr>
          <w:p>
            <w:pPr>
              <w:spacing w:after="0"/>
            </w:pPr>
            <w:r>
              <w:rPr>
                <w:b w:val="false"/>
                <w:bCs w:val="false"/>
                <w:sz w:val="19"/>
                <w:szCs w:val="19"/>
              </w:rPr>
              <w:t xml:space="preserve">Fork Risk</w:t>
            </w:r>
          </w:p>
        </w:tc>
        <w:tc>
          <w:tcPr>
            <w:tcW w:type="auto" w:w="1"/>
            <w:tcMar>
              <w:top w:type="dxa" w:w="80"/>
              <w:left w:type="dxa" w:w="100"/>
              <w:bottom w:type="dxa" w:w="80"/>
              <w:right w:type="dxa" w:w="100"/>
            </w:tcMar>
          </w:tcPr>
          <w:p>
            <w:pPr>
              <w:spacing w:after="0"/>
            </w:pPr>
            <w:r>
              <w:rPr>
                <w:b w:val="false"/>
                <w:bCs w:val="false"/>
                <w:sz w:val="19"/>
                <w:szCs w:val="19"/>
              </w:rPr>
              <w:t xml:space="preserve">Possible (reorgs)</w:t>
            </w:r>
          </w:p>
        </w:tc>
        <w:tc>
          <w:tcPr>
            <w:tcW w:type="auto" w:w="1"/>
            <w:tcMar>
              <w:top w:type="dxa" w:w="80"/>
              <w:left w:type="dxa" w:w="100"/>
              <w:bottom w:type="dxa" w:w="80"/>
              <w:right w:type="dxa" w:w="100"/>
            </w:tcMar>
          </w:tcPr>
          <w:p>
            <w:pPr>
              <w:spacing w:after="0"/>
            </w:pPr>
            <w:r>
              <w:rPr>
                <w:b w:val="false"/>
                <w:bCs w:val="false"/>
                <w:sz w:val="19"/>
                <w:szCs w:val="19"/>
              </w:rPr>
              <w:t xml:space="preserve">Possible</w:t>
            </w:r>
          </w:p>
        </w:tc>
        <w:tc>
          <w:tcPr>
            <w:tcW w:type="auto" w:w="1"/>
            <w:tcMar>
              <w:top w:type="dxa" w:w="80"/>
              <w:left w:type="dxa" w:w="100"/>
              <w:bottom w:type="dxa" w:w="80"/>
              <w:right w:type="dxa" w:w="100"/>
            </w:tcMar>
          </w:tcPr>
          <w:p>
            <w:pPr>
              <w:spacing w:after="0"/>
            </w:pPr>
            <w:r>
              <w:rPr>
                <w:b w:val="false"/>
                <w:bCs w:val="false"/>
                <w:sz w:val="19"/>
                <w:szCs w:val="19"/>
              </w:rPr>
              <w:t xml:space="preserve">Not applicable under PPoS finality model</w:t>
            </w:r>
          </w:p>
        </w:tc>
      </w:tr>
    </w:tbl>
    <w:p>
      <w:pPr>
        <w:pStyle w:val="Heading1"/>
        <w:spacing w:after="160" w:before="320"/>
      </w:pPr>
      <w:r>
        <w:t xml:space="preserve">5. Technical Methodology</w:t>
      </w:r>
    </w:p>
    <w:p>
      <w:pPr>
        <w:spacing w:after="160" w:line="276"/>
        <w:jc w:val="both"/>
      </w:pPr>
      <w:r>
        <w:t xml:space="preserve">The ZERO-ID verification lifecycle proceeds through five phases:</w:t>
      </w:r>
    </w:p>
    <w:p>
      <w:pPr>
        <w:spacing w:after="100" w:before="160"/>
      </w:pPr>
      <w:r>
        <w:rPr>
          <w:b/>
          <w:bCs/>
        </w:rPr>
        <w:t xml:space="preserve">Phase 1 - Secure Ingestion &amp; RSA-2048 Witness Validation</w:t>
      </w:r>
    </w:p>
    <w:p>
      <w:pPr>
        <w:spacing w:after="160" w:line="276"/>
        <w:jc w:val="both"/>
      </w:pPr>
      <w:r>
        <w:t xml:space="preserve">The citizen selects their UIDAI-issued digitally signed Offline e-KYC XML file. The browser environment ingests the file into volatile JavaScript TypedArrays. The client-side parser extracts the XML-DSig &lt;SignatureValue&gt; block and verifies the RSA-2048 SHA-256 signature against the UIDAI root certificate authority chain using PKCS#1 v1.5 verification: S^e = H(M) mod N. Upon successful validation, the parser extracts the raw birthYear integer into an ephemeral memory register. If the signature is invalid or the XML has been tampered with, execution terminates.</w:t>
      </w:r>
    </w:p>
    <w:p>
      <w:pPr>
        <w:spacing w:after="100" w:before="160"/>
      </w:pPr>
      <w:r>
        <w:rPr>
          <w:b/>
          <w:bCs/>
        </w:rPr>
        <w:t xml:space="preserve">Phase 2 - Client-Side Constraint Proving (WebAssembly)</w:t>
      </w:r>
    </w:p>
    <w:p>
      <w:pPr>
        <w:spacing w:after="160" w:line="276"/>
        <w:jc w:val="both"/>
      </w:pPr>
      <w:r>
        <w:t xml:space="preserve">The extracted birthYear is supplied as a private witness signal into a compiled Circom 2.1.0 arithmetic circuit alongside public instance signals (currentYear, ageThreshold). The snarkjs WASM runtime evaluates the Rank-1 Constraint System (R1CS), computing Groth16 proof points (A, B, C) over the BN254 curve. The engine also computes a 32-byte deterministic NullifierHash = Poseidon(Aadhaar_Secret_Salt, UID_Hash). Raw XML buffers and witness registers are then overwritten before being released.</w:t>
      </w:r>
    </w:p>
    <w:p>
      <w:pPr>
        <w:spacing w:after="100" w:before="160"/>
      </w:pPr>
      <w:r>
        <w:rPr>
          <w:b/>
          <w:bCs/>
        </w:rPr>
        <w:t xml:space="preserve">Phase 3 - Hardware Enclave Biometric Binding</w:t>
      </w:r>
    </w:p>
    <w:p>
      <w:pPr>
        <w:spacing w:after="160" w:line="276"/>
        <w:jc w:val="both"/>
      </w:pPr>
      <w:r>
        <w:t xml:space="preserve">The client constructs Challenge = SHA-256(Proof_A || Proof_B || Proof_C || NullifierHash || Timestamp || VerifierID). The browser invokes navigator.credentials.get() via the W3C WebAuthn API, prompting local biometric authentication. The hardware secure enclave signs the challenge digest using its non-exportable ECDSA-P256 private key, producing a hardware assertion token that binds this specific proof to this specific device.</w:t>
      </w:r>
    </w:p>
    <w:p>
      <w:pPr>
        <w:spacing w:after="100" w:before="160"/>
      </w:pPr>
      <w:r>
        <w:rPr>
          <w:b/>
          <w:bCs/>
        </w:rPr>
        <w:t xml:space="preserve">Phase 4 - Presentation</w:t>
      </w:r>
    </w:p>
    <w:p>
      <w:pPr>
        <w:spacing w:after="160" w:line="276"/>
        <w:jc w:val="both"/>
      </w:pPr>
      <w:r>
        <w:t xml:space="preserve">The composite verification bundle - the 128-byte Groth16 proof, public signals, Poseidon nullifier, WebAuthn hardware signature, and an expiring nonce - is encoded into a dynamic QR code or transmitted via HTTPS POST to the relying party's verification terminal.</w:t>
      </w:r>
    </w:p>
    <w:p>
      <w:pPr>
        <w:spacing w:after="100" w:before="160"/>
      </w:pPr>
      <w:r>
        <w:rPr>
          <w:b/>
          <w:bCs/>
        </w:rPr>
        <w:t xml:space="preserve">Phase 5 - On-Chain Verification &amp; O(1) Revocation Check</w:t>
      </w:r>
    </w:p>
    <w:p>
      <w:pPr>
        <w:spacing w:after="160" w:line="276"/>
        <w:jc w:val="both"/>
      </w:pPr>
      <w:r>
        <w:t xml:space="preserve">The verifier performs two checks: (1) Mathematical Proof Verification, invoking an Algorand AVM application that executes the bn254_pairing opcode to verify e(A,B) = e(alpha,beta) * e(L,gamma) * e(C,delta); and (2) Real-Time Revocation Check, querying a second application for the Box keyed by NullifierHash - if the box contains 0x01 (REVOKED), access is denied; if 0x00 or absent, access is granted. See Section 12 for the current TestNet deployment used to validate this flow.</w:t>
      </w:r>
    </w:p>
    <w:p>
      <w:pPr>
        <w:pStyle w:val="Heading1"/>
        <w:spacing w:after="160" w:before="320"/>
      </w:pPr>
      <w:r>
        <w:t xml:space="preserve">6. System Architecture and Design</w:t>
      </w:r>
    </w:p>
    <w:p>
      <w:pPr>
        <w:pStyle w:val="Heading2"/>
        <w:spacing w:after="120" w:before="240"/>
      </w:pPr>
      <w:r>
        <w:t xml:space="preserve">Figure 1 - End-to-End System Architecture</w:t>
      </w:r>
    </w:p>
    <w:p>
      <w:pPr>
        <w:spacing w:after="160" w:line="276"/>
        <w:jc w:val="both"/>
      </w:pPr>
      <w:r>
        <w:t xml:space="preserve">The architecture has three tiers. All identity proving occurs in the Client Tier (edge browser); the Presentation Layer transmits only mathematical attestations (no PII) across the network boundary; the Verifier Tier executes on-chain mathematical verification and revocation-state queries on Algorand Layer-1.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Tier</w:t>
            </w:r>
          </w:p>
        </w:tc>
        <w:tc>
          <w:tcPr>
            <w:shd w:fill="1F4E79" w:val="clear"/>
            <w:tcMar>
              <w:top w:type="dxa" w:w="80"/>
              <w:left w:type="dxa" w:w="100"/>
              <w:bottom w:type="dxa" w:w="80"/>
              <w:right w:type="dxa" w:w="100"/>
            </w:tcMar>
          </w:tcPr>
          <w:p>
            <w:pPr>
              <w:spacing w:after="0"/>
            </w:pPr>
            <w:r>
              <w:rPr>
                <w:b/>
                <w:bCs/>
                <w:color w:val="FFFFFF"/>
                <w:sz w:val="19"/>
                <w:szCs w:val="19"/>
              </w:rPr>
              <w:t xml:space="preserve">Component</w:t>
            </w:r>
          </w:p>
        </w:tc>
        <w:tc>
          <w:tcPr>
            <w:shd w:fill="1F4E79" w:val="clear"/>
            <w:tcMar>
              <w:top w:type="dxa" w:w="80"/>
              <w:left w:type="dxa" w:w="100"/>
              <w:bottom w:type="dxa" w:w="80"/>
              <w:right w:type="dxa" w:w="100"/>
            </w:tcMar>
          </w:tcPr>
          <w:p>
            <w:pPr>
              <w:spacing w:after="0"/>
            </w:pPr>
            <w:r>
              <w:rPr>
                <w:b/>
                <w:bCs/>
                <w:color w:val="FFFFFF"/>
                <w:sz w:val="19"/>
                <w:szCs w:val="19"/>
              </w:rPr>
              <w:t xml:space="preserve">Function</w:t>
            </w:r>
          </w:p>
        </w:tc>
      </w:tr>
      <w:tr>
        <w:tc>
          <w:tcPr>
            <w:tcW w:type="auto" w:w="1"/>
            <w:tcMar>
              <w:top w:type="dxa" w:w="80"/>
              <w:left w:type="dxa" w:w="100"/>
              <w:bottom w:type="dxa" w:w="80"/>
              <w:right w:type="dxa" w:w="100"/>
            </w:tcMar>
          </w:tcPr>
          <w:p>
            <w:pPr>
              <w:spacing w:after="0"/>
            </w:pPr>
            <w:r>
              <w:rPr>
                <w:b w:val="false"/>
                <w:bCs w:val="false"/>
                <w:sz w:val="19"/>
                <w:szCs w:val="19"/>
              </w:rPr>
              <w:t xml:space="preserve">Client (edge browser, all computation local)</w:t>
            </w:r>
          </w:p>
        </w:tc>
        <w:tc>
          <w:tcPr>
            <w:tcW w:type="auto" w:w="1"/>
            <w:tcMar>
              <w:top w:type="dxa" w:w="80"/>
              <w:left w:type="dxa" w:w="100"/>
              <w:bottom w:type="dxa" w:w="80"/>
              <w:right w:type="dxa" w:w="100"/>
            </w:tcMar>
          </w:tcPr>
          <w:p>
            <w:pPr>
              <w:spacing w:after="0"/>
            </w:pPr>
            <w:r>
              <w:rPr>
                <w:b w:val="false"/>
                <w:bCs w:val="false"/>
                <w:sz w:val="19"/>
                <w:szCs w:val="19"/>
              </w:rPr>
              <w:t xml:space="preserve">1. UIDAI XML Ingest</w:t>
            </w:r>
          </w:p>
        </w:tc>
        <w:tc>
          <w:tcPr>
            <w:tcW w:type="auto" w:w="1"/>
            <w:tcMar>
              <w:top w:type="dxa" w:w="80"/>
              <w:left w:type="dxa" w:w="100"/>
              <w:bottom w:type="dxa" w:w="80"/>
              <w:right w:type="dxa" w:w="100"/>
            </w:tcMar>
          </w:tcPr>
          <w:p>
            <w:pPr>
              <w:spacing w:after="0"/>
            </w:pPr>
            <w:r>
              <w:rPr>
                <w:b w:val="false"/>
                <w:bCs w:val="false"/>
                <w:sz w:val="19"/>
                <w:szCs w:val="19"/>
              </w:rPr>
              <w:t xml:space="preserve">RSA-2048 signature verification in volatile memory</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Client (edge browser, all computation local)</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2. Circom / WASM Prover</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Groth16 proof generation over BN254</w:t>
            </w:r>
          </w:p>
        </w:tc>
      </w:tr>
      <w:tr>
        <w:tc>
          <w:tcPr>
            <w:tcW w:type="auto" w:w="1"/>
            <w:tcMar>
              <w:top w:type="dxa" w:w="80"/>
              <w:left w:type="dxa" w:w="100"/>
              <w:bottom w:type="dxa" w:w="80"/>
              <w:right w:type="dxa" w:w="100"/>
            </w:tcMar>
          </w:tcPr>
          <w:p>
            <w:pPr>
              <w:spacing w:after="0"/>
            </w:pPr>
            <w:r>
              <w:rPr>
                <w:b w:val="false"/>
                <w:bCs w:val="false"/>
                <w:sz w:val="19"/>
                <w:szCs w:val="19"/>
              </w:rPr>
              <w:t xml:space="preserve">Client (edge browser, all computation local)</w:t>
            </w:r>
          </w:p>
        </w:tc>
        <w:tc>
          <w:tcPr>
            <w:tcW w:type="auto" w:w="1"/>
            <w:tcMar>
              <w:top w:type="dxa" w:w="80"/>
              <w:left w:type="dxa" w:w="100"/>
              <w:bottom w:type="dxa" w:w="80"/>
              <w:right w:type="dxa" w:w="100"/>
            </w:tcMar>
          </w:tcPr>
          <w:p>
            <w:pPr>
              <w:spacing w:after="0"/>
            </w:pPr>
            <w:r>
              <w:rPr>
                <w:b w:val="false"/>
                <w:bCs w:val="false"/>
                <w:sz w:val="19"/>
                <w:szCs w:val="19"/>
              </w:rPr>
              <w:t xml:space="preserve">3. Hardware Enclave</w:t>
            </w:r>
          </w:p>
        </w:tc>
        <w:tc>
          <w:tcPr>
            <w:tcW w:type="auto" w:w="1"/>
            <w:tcMar>
              <w:top w:type="dxa" w:w="80"/>
              <w:left w:type="dxa" w:w="100"/>
              <w:bottom w:type="dxa" w:w="80"/>
              <w:right w:type="dxa" w:w="100"/>
            </w:tcMar>
          </w:tcPr>
          <w:p>
            <w:pPr>
              <w:spacing w:after="0"/>
            </w:pPr>
            <w:r>
              <w:rPr>
                <w:b w:val="false"/>
                <w:bCs w:val="false"/>
                <w:sz w:val="19"/>
                <w:szCs w:val="19"/>
              </w:rPr>
              <w:t xml:space="preserve">FIDO2 / WebAuthn ECDSA-P256 signing</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Presentation Layer</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QR Code / HTTPS Webhook</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Transmits 128B proof + 32B nullifier + hardware signature; 0 bytes of PII cross the network boundary</w:t>
            </w:r>
          </w:p>
        </w:tc>
      </w:tr>
      <w:tr>
        <w:tc>
          <w:tcPr>
            <w:tcW w:type="auto" w:w="1"/>
            <w:tcMar>
              <w:top w:type="dxa" w:w="80"/>
              <w:left w:type="dxa" w:w="100"/>
              <w:bottom w:type="dxa" w:w="80"/>
              <w:right w:type="dxa" w:w="100"/>
            </w:tcMar>
          </w:tcPr>
          <w:p>
            <w:pPr>
              <w:spacing w:after="0"/>
            </w:pPr>
            <w:r>
              <w:rPr>
                <w:b w:val="false"/>
                <w:bCs w:val="false"/>
                <w:sz w:val="19"/>
                <w:szCs w:val="19"/>
              </w:rPr>
              <w:t xml:space="preserve">Verifier (relying party terminal)</w:t>
            </w:r>
          </w:p>
        </w:tc>
        <w:tc>
          <w:tcPr>
            <w:tcW w:type="auto" w:w="1"/>
            <w:tcMar>
              <w:top w:type="dxa" w:w="80"/>
              <w:left w:type="dxa" w:w="100"/>
              <w:bottom w:type="dxa" w:w="80"/>
              <w:right w:type="dxa" w:w="100"/>
            </w:tcMar>
          </w:tcPr>
          <w:p>
            <w:pPr>
              <w:spacing w:after="0"/>
            </w:pPr>
            <w:r>
              <w:rPr>
                <w:b w:val="false"/>
                <w:bCs w:val="false"/>
                <w:sz w:val="19"/>
                <w:szCs w:val="19"/>
              </w:rPr>
              <w:t xml:space="preserve">Bundle Parser</w:t>
            </w:r>
          </w:p>
        </w:tc>
        <w:tc>
          <w:tcPr>
            <w:tcW w:type="auto" w:w="1"/>
            <w:tcMar>
              <w:top w:type="dxa" w:w="80"/>
              <w:left w:type="dxa" w:w="100"/>
              <w:bottom w:type="dxa" w:w="80"/>
              <w:right w:type="dxa" w:w="100"/>
            </w:tcMar>
          </w:tcPr>
          <w:p>
            <w:pPr>
              <w:spacing w:after="0"/>
            </w:pPr>
            <w:r>
              <w:rPr>
                <w:b w:val="false"/>
                <w:bCs w:val="false"/>
                <w:sz w:val="19"/>
                <w:szCs w:val="19"/>
              </w:rPr>
              <w:t xml:space="preserve">Parses { Groth16 Proof (128B), Nullifier (32B), WebAuthn Sig }</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Verifier - AVM Contract 1</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Proof Verifier (TestNet App ID 761383580)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bn254_pairing opcode; outputs mathematical validity (T/F)</w:t>
            </w:r>
          </w:p>
        </w:tc>
      </w:tr>
      <w:tr>
        <w:tc>
          <w:tcPr>
            <w:tcW w:type="auto" w:w="1"/>
            <w:tcMar>
              <w:top w:type="dxa" w:w="80"/>
              <w:left w:type="dxa" w:w="100"/>
              <w:bottom w:type="dxa" w:w="80"/>
              <w:right w:type="dxa" w:w="100"/>
            </w:tcMar>
          </w:tcPr>
          <w:p>
            <w:pPr>
              <w:spacing w:after="0"/>
            </w:pPr>
            <w:r>
              <w:rPr>
                <w:b w:val="false"/>
                <w:bCs w:val="false"/>
                <w:sz w:val="19"/>
                <w:szCs w:val="19"/>
              </w:rPr>
              <w:t xml:space="preserve">Verifier - AVM Contract 2</w:t>
            </w:r>
          </w:p>
        </w:tc>
        <w:tc>
          <w:tcPr>
            <w:tcW w:type="auto" w:w="1"/>
            <w:tcMar>
              <w:top w:type="dxa" w:w="80"/>
              <w:left w:type="dxa" w:w="100"/>
              <w:bottom w:type="dxa" w:w="80"/>
              <w:right w:type="dxa" w:w="100"/>
            </w:tcMar>
          </w:tcPr>
          <w:p>
            <w:pPr>
              <w:spacing w:after="0"/>
            </w:pPr>
            <w:r>
              <w:rPr>
                <w:b w:val="false"/>
                <w:bCs w:val="false"/>
                <w:sz w:val="19"/>
                <w:szCs w:val="19"/>
              </w:rPr>
              <w:t xml:space="preserve">Revocation Index (TestNet App ID 761383581)</w:t>
            </w:r>
          </w:p>
        </w:tc>
        <w:tc>
          <w:tcPr>
            <w:tcW w:type="auto" w:w="1"/>
            <w:tcMar>
              <w:top w:type="dxa" w:w="80"/>
              <w:left w:type="dxa" w:w="100"/>
              <w:bottom w:type="dxa" w:w="80"/>
              <w:right w:type="dxa" w:w="100"/>
            </w:tcMar>
          </w:tcPr>
          <w:p>
            <w:pPr>
              <w:spacing w:after="0"/>
            </w:pPr>
            <w:r>
              <w:rPr>
                <w:b w:val="false"/>
                <w:bCs w:val="false"/>
                <w:sz w:val="19"/>
                <w:szCs w:val="19"/>
              </w:rPr>
              <w:t xml:space="preserve">O(1) key-value Box Storage lookup; measured 3.80s global finality</w:t>
            </w:r>
          </w:p>
        </w:tc>
      </w:tr>
    </w:tbl>
    <w:p>
      <w:pPr>
        <w:pStyle w:val="Heading2"/>
        <w:spacing w:after="120" w:before="240"/>
      </w:pPr>
      <w:r>
        <w:t xml:space="preserve">Figure 2 - Cryptographic Protocol Sequence</w:t>
      </w:r>
    </w:p>
    <w:p>
      <w:pPr>
        <w:spacing w:after="160" w:line="276"/>
        <w:jc w:val="both"/>
      </w:pPr>
      <w:r>
        <w:t xml:space="preserve">The table below lists the protocol exchange in sequence. Raw PII does not leave the Citizen Client at any point; only mathematical attestation tokens cross the network boundary.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Step</w:t>
            </w:r>
          </w:p>
        </w:tc>
        <w:tc>
          <w:tcPr>
            <w:shd w:fill="1F4E79" w:val="clear"/>
            <w:tcMar>
              <w:top w:type="dxa" w:w="80"/>
              <w:left w:type="dxa" w:w="100"/>
              <w:bottom w:type="dxa" w:w="80"/>
              <w:right w:type="dxa" w:w="100"/>
            </w:tcMar>
          </w:tcPr>
          <w:p>
            <w:pPr>
              <w:spacing w:after="0"/>
            </w:pPr>
            <w:r>
              <w:rPr>
                <w:b/>
                <w:bCs/>
                <w:color w:val="FFFFFF"/>
                <w:sz w:val="19"/>
                <w:szCs w:val="19"/>
              </w:rPr>
              <w:t xml:space="preserve">From</w:t>
            </w:r>
          </w:p>
        </w:tc>
        <w:tc>
          <w:tcPr>
            <w:shd w:fill="1F4E79" w:val="clear"/>
            <w:tcMar>
              <w:top w:type="dxa" w:w="80"/>
              <w:left w:type="dxa" w:w="100"/>
              <w:bottom w:type="dxa" w:w="80"/>
              <w:right w:type="dxa" w:w="100"/>
            </w:tcMar>
          </w:tcPr>
          <w:p>
            <w:pPr>
              <w:spacing w:after="0"/>
            </w:pPr>
            <w:r>
              <w:rPr>
                <w:b/>
                <w:bCs/>
                <w:color w:val="FFFFFF"/>
                <w:sz w:val="19"/>
                <w:szCs w:val="19"/>
              </w:rPr>
              <w:t xml:space="preserve">To</w:t>
            </w:r>
          </w:p>
        </w:tc>
        <w:tc>
          <w:tcPr>
            <w:shd w:fill="1F4E79" w:val="clear"/>
            <w:tcMar>
              <w:top w:type="dxa" w:w="80"/>
              <w:left w:type="dxa" w:w="100"/>
              <w:bottom w:type="dxa" w:w="80"/>
              <w:right w:type="dxa" w:w="100"/>
            </w:tcMar>
          </w:tcPr>
          <w:p>
            <w:pPr>
              <w:spacing w:after="0"/>
            </w:pPr>
            <w:r>
              <w:rPr>
                <w:b/>
                <w:bCs/>
                <w:color w:val="FFFFFF"/>
                <w:sz w:val="19"/>
                <w:szCs w:val="19"/>
              </w:rPr>
              <w:t xml:space="preserve">Message / Action</w:t>
            </w:r>
          </w:p>
        </w:tc>
      </w:tr>
      <w:tr>
        <w:tc>
          <w:tcPr>
            <w:tcW w:type="auto" w:w="1"/>
            <w:tcMar>
              <w:top w:type="dxa" w:w="80"/>
              <w:left w:type="dxa" w:w="100"/>
              <w:bottom w:type="dxa" w:w="80"/>
              <w:right w:type="dxa" w:w="100"/>
            </w:tcMar>
          </w:tcPr>
          <w:p>
            <w:pPr>
              <w:spacing w:after="0"/>
            </w:pPr>
            <w:r>
              <w:rPr>
                <w:b w:val="false"/>
                <w:bCs w:val="false"/>
                <w:sz w:val="19"/>
                <w:szCs w:val="19"/>
              </w:rPr>
              <w:t xml:space="preserve">1</w:t>
            </w:r>
          </w:p>
        </w:tc>
        <w:tc>
          <w:tcPr>
            <w:tcW w:type="auto" w:w="1"/>
            <w:tcMar>
              <w:top w:type="dxa" w:w="80"/>
              <w:left w:type="dxa" w:w="100"/>
              <w:bottom w:type="dxa" w:w="80"/>
              <w:right w:type="dxa" w:w="100"/>
            </w:tcMar>
          </w:tcPr>
          <w:p>
            <w:pPr>
              <w:spacing w:after="0"/>
            </w:pPr>
            <w:r>
              <w:rPr>
                <w:b w:val="false"/>
                <w:bCs w:val="false"/>
                <w:sz w:val="19"/>
                <w:szCs w:val="19"/>
              </w:rPr>
              <w:t xml:space="preserve">Citizen</w:t>
            </w:r>
          </w:p>
        </w:tc>
        <w:tc>
          <w:tcPr>
            <w:tcW w:type="auto" w:w="1"/>
            <w:tcMar>
              <w:top w:type="dxa" w:w="80"/>
              <w:left w:type="dxa" w:w="100"/>
              <w:bottom w:type="dxa" w:w="80"/>
              <w:right w:type="dxa" w:w="100"/>
            </w:tcMar>
          </w:tcPr>
          <w:p>
            <w:pPr>
              <w:spacing w:after="0"/>
            </w:pPr>
            <w:r>
              <w:rPr>
                <w:b w:val="false"/>
                <w:bCs w:val="false"/>
                <w:sz w:val="19"/>
                <w:szCs w:val="19"/>
              </w:rPr>
              <w:t xml:space="preserve">WASM Engine (Client)</w:t>
            </w:r>
          </w:p>
        </w:tc>
        <w:tc>
          <w:tcPr>
            <w:tcW w:type="auto" w:w="1"/>
            <w:tcMar>
              <w:top w:type="dxa" w:w="80"/>
              <w:left w:type="dxa" w:w="100"/>
              <w:bottom w:type="dxa" w:w="80"/>
              <w:right w:type="dxa" w:w="100"/>
            </w:tcMar>
          </w:tcPr>
          <w:p>
            <w:pPr>
              <w:spacing w:after="0"/>
            </w:pPr>
            <w:r>
              <w:rPr>
                <w:b w:val="false"/>
                <w:bCs w:val="false"/>
                <w:sz w:val="19"/>
                <w:szCs w:val="19"/>
              </w:rPr>
              <w:t xml:space="preserve">Load Aadhaar XML; RSA-2048 signature check</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2</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WASM Engine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(local computation)</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Compute Groth16 proof (128B) and Poseidon nullifier</w:t>
            </w:r>
          </w:p>
        </w:tc>
      </w:tr>
      <w:tr>
        <w:tc>
          <w:tcPr>
            <w:tcW w:type="auto" w:w="1"/>
            <w:tcMar>
              <w:top w:type="dxa" w:w="80"/>
              <w:left w:type="dxa" w:w="100"/>
              <w:bottom w:type="dxa" w:w="80"/>
              <w:right w:type="dxa" w:w="100"/>
            </w:tcMar>
          </w:tcPr>
          <w:p>
            <w:pPr>
              <w:spacing w:after="0"/>
            </w:pPr>
            <w:r>
              <w:rPr>
                <w:b w:val="false"/>
                <w:bCs w:val="false"/>
                <w:sz w:val="19"/>
                <w:szCs w:val="19"/>
              </w:rPr>
              <w:t xml:space="preserve">3</w:t>
            </w:r>
          </w:p>
        </w:tc>
        <w:tc>
          <w:tcPr>
            <w:tcW w:type="auto" w:w="1"/>
            <w:tcMar>
              <w:top w:type="dxa" w:w="80"/>
              <w:left w:type="dxa" w:w="100"/>
              <w:bottom w:type="dxa" w:w="80"/>
              <w:right w:type="dxa" w:w="100"/>
            </w:tcMar>
          </w:tcPr>
          <w:p>
            <w:pPr>
              <w:spacing w:after="0"/>
            </w:pPr>
            <w:r>
              <w:rPr>
                <w:b w:val="false"/>
                <w:bCs w:val="false"/>
                <w:sz w:val="19"/>
                <w:szCs w:val="19"/>
              </w:rPr>
              <w:t xml:space="preserve">WASM Engine</w:t>
            </w:r>
          </w:p>
        </w:tc>
        <w:tc>
          <w:tcPr>
            <w:tcW w:type="auto" w:w="1"/>
            <w:tcMar>
              <w:top w:type="dxa" w:w="80"/>
              <w:left w:type="dxa" w:w="100"/>
              <w:bottom w:type="dxa" w:w="80"/>
              <w:right w:type="dxa" w:w="100"/>
            </w:tcMar>
          </w:tcPr>
          <w:p>
            <w:pPr>
              <w:spacing w:after="0"/>
            </w:pPr>
            <w:r>
              <w:rPr>
                <w:b w:val="false"/>
                <w:bCs w:val="false"/>
                <w:sz w:val="19"/>
                <w:szCs w:val="19"/>
              </w:rPr>
              <w:t xml:space="preserve">Secure Enclave</w:t>
            </w:r>
          </w:p>
        </w:tc>
        <w:tc>
          <w:tcPr>
            <w:tcW w:type="auto" w:w="1"/>
            <w:tcMar>
              <w:top w:type="dxa" w:w="80"/>
              <w:left w:type="dxa" w:w="100"/>
              <w:bottom w:type="dxa" w:w="80"/>
              <w:right w:type="dxa" w:w="100"/>
            </w:tcMar>
          </w:tcPr>
          <w:p>
            <w:pPr>
              <w:spacing w:after="0"/>
            </w:pPr>
            <w:r>
              <w:rPr>
                <w:b w:val="false"/>
                <w:bCs w:val="false"/>
                <w:sz w:val="19"/>
                <w:szCs w:val="19"/>
              </w:rPr>
              <w:t xml:space="preserve">Construct challenge = SHA-256(Proof || Nullifier || Timestamp || VerifierID)</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4</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Secure Enclave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Citizen</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Prompt biometric authentication (Touch ID / Face ID / Windows Hello)</w:t>
            </w:r>
          </w:p>
        </w:tc>
      </w:tr>
      <w:tr>
        <w:tc>
          <w:tcPr>
            <w:tcW w:type="auto" w:w="1"/>
            <w:tcMar>
              <w:top w:type="dxa" w:w="80"/>
              <w:left w:type="dxa" w:w="100"/>
              <w:bottom w:type="dxa" w:w="80"/>
              <w:right w:type="dxa" w:w="100"/>
            </w:tcMar>
          </w:tcPr>
          <w:p>
            <w:pPr>
              <w:spacing w:after="0"/>
            </w:pPr>
            <w:r>
              <w:rPr>
                <w:b w:val="false"/>
                <w:bCs w:val="false"/>
                <w:sz w:val="19"/>
                <w:szCs w:val="19"/>
              </w:rPr>
              <w:t xml:space="preserve">5</w:t>
            </w:r>
          </w:p>
        </w:tc>
        <w:tc>
          <w:tcPr>
            <w:tcW w:type="auto" w:w="1"/>
            <w:tcMar>
              <w:top w:type="dxa" w:w="80"/>
              <w:left w:type="dxa" w:w="100"/>
              <w:bottom w:type="dxa" w:w="80"/>
              <w:right w:type="dxa" w:w="100"/>
            </w:tcMar>
          </w:tcPr>
          <w:p>
            <w:pPr>
              <w:spacing w:after="0"/>
            </w:pPr>
            <w:r>
              <w:rPr>
                <w:b w:val="false"/>
                <w:bCs w:val="false"/>
                <w:sz w:val="19"/>
                <w:szCs w:val="19"/>
              </w:rPr>
              <w:t xml:space="preserve">Secure Enclave</w:t>
            </w:r>
          </w:p>
        </w:tc>
        <w:tc>
          <w:tcPr>
            <w:tcW w:type="auto" w:w="1"/>
            <w:tcMar>
              <w:top w:type="dxa" w:w="80"/>
              <w:left w:type="dxa" w:w="100"/>
              <w:bottom w:type="dxa" w:w="80"/>
              <w:right w:type="dxa" w:w="100"/>
            </w:tcMar>
          </w:tcPr>
          <w:p>
            <w:pPr>
              <w:spacing w:after="0"/>
            </w:pPr>
            <w:r>
              <w:rPr>
                <w:b w:val="false"/>
                <w:bCs w:val="false"/>
                <w:sz w:val="19"/>
                <w:szCs w:val="19"/>
              </w:rPr>
              <w:t xml:space="preserve">WASM Engine</w:t>
            </w:r>
          </w:p>
        </w:tc>
        <w:tc>
          <w:tcPr>
            <w:tcW w:type="auto" w:w="1"/>
            <w:tcMar>
              <w:top w:type="dxa" w:w="80"/>
              <w:left w:type="dxa" w:w="100"/>
              <w:bottom w:type="dxa" w:w="80"/>
              <w:right w:type="dxa" w:w="100"/>
            </w:tcMar>
          </w:tcPr>
          <w:p>
            <w:pPr>
              <w:spacing w:after="0"/>
            </w:pPr>
            <w:r>
              <w:rPr>
                <w:b w:val="false"/>
                <w:bCs w:val="false"/>
                <w:sz w:val="19"/>
                <w:szCs w:val="19"/>
              </w:rPr>
              <w:t xml:space="preserve">Return ECDSA-P256 signature over the challenge</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6</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WASM Engine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Citizen Client</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Assemble composite bundle {Proof, Nullifier, Signature}</w:t>
            </w:r>
          </w:p>
        </w:tc>
      </w:tr>
      <w:tr>
        <w:tc>
          <w:tcPr>
            <w:tcW w:type="auto" w:w="1"/>
            <w:tcMar>
              <w:top w:type="dxa" w:w="80"/>
              <w:left w:type="dxa" w:w="100"/>
              <w:bottom w:type="dxa" w:w="80"/>
              <w:right w:type="dxa" w:w="100"/>
            </w:tcMar>
          </w:tcPr>
          <w:p>
            <w:pPr>
              <w:spacing w:after="0"/>
            </w:pPr>
            <w:r>
              <w:rPr>
                <w:b w:val="false"/>
                <w:bCs w:val="false"/>
                <w:sz w:val="19"/>
                <w:szCs w:val="19"/>
              </w:rPr>
              <w:t xml:space="preserve">7</w:t>
            </w:r>
          </w:p>
        </w:tc>
        <w:tc>
          <w:tcPr>
            <w:tcW w:type="auto" w:w="1"/>
            <w:tcMar>
              <w:top w:type="dxa" w:w="80"/>
              <w:left w:type="dxa" w:w="100"/>
              <w:bottom w:type="dxa" w:w="80"/>
              <w:right w:type="dxa" w:w="100"/>
            </w:tcMar>
          </w:tcPr>
          <w:p>
            <w:pPr>
              <w:spacing w:after="0"/>
            </w:pPr>
            <w:r>
              <w:rPr>
                <w:b w:val="false"/>
                <w:bCs w:val="false"/>
                <w:sz w:val="19"/>
                <w:szCs w:val="19"/>
              </w:rPr>
              <w:t xml:space="preserve">Citizen Client</w:t>
            </w:r>
          </w:p>
        </w:tc>
        <w:tc>
          <w:tcPr>
            <w:tcW w:type="auto" w:w="1"/>
            <w:tcMar>
              <w:top w:type="dxa" w:w="80"/>
              <w:left w:type="dxa" w:w="100"/>
              <w:bottom w:type="dxa" w:w="80"/>
              <w:right w:type="dxa" w:w="100"/>
            </w:tcMar>
          </w:tcPr>
          <w:p>
            <w:pPr>
              <w:spacing w:after="0"/>
            </w:pPr>
            <w:r>
              <w:rPr>
                <w:b w:val="false"/>
                <w:bCs w:val="false"/>
                <w:sz w:val="19"/>
                <w:szCs w:val="19"/>
              </w:rPr>
              <w:t xml:space="preserve">Verifier Terminal</w:t>
            </w:r>
          </w:p>
        </w:tc>
        <w:tc>
          <w:tcPr>
            <w:tcW w:type="auto" w:w="1"/>
            <w:tcMar>
              <w:top w:type="dxa" w:w="80"/>
              <w:left w:type="dxa" w:w="100"/>
              <w:bottom w:type="dxa" w:w="80"/>
              <w:right w:type="dxa" w:w="100"/>
            </w:tcMar>
          </w:tcPr>
          <w:p>
            <w:pPr>
              <w:spacing w:after="0"/>
            </w:pPr>
            <w:r>
              <w:rPr>
                <w:b w:val="false"/>
                <w:bCs w:val="false"/>
                <w:sz w:val="19"/>
                <w:szCs w:val="19"/>
              </w:rPr>
              <w:t xml:space="preserve">Present bundle via QR code or HTTPS POST</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8</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Verifier Terminal</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Algorand L1 (App 761383580)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Invoke bn254_pairing opcode to verify proof</w:t>
            </w:r>
          </w:p>
        </w:tc>
      </w:tr>
      <w:tr>
        <w:tc>
          <w:tcPr>
            <w:tcW w:type="auto" w:w="1"/>
            <w:tcMar>
              <w:top w:type="dxa" w:w="80"/>
              <w:left w:type="dxa" w:w="100"/>
              <w:bottom w:type="dxa" w:w="80"/>
              <w:right w:type="dxa" w:w="100"/>
            </w:tcMar>
          </w:tcPr>
          <w:p>
            <w:pPr>
              <w:spacing w:after="0"/>
            </w:pPr>
            <w:r>
              <w:rPr>
                <w:b w:val="false"/>
                <w:bCs w:val="false"/>
                <w:sz w:val="19"/>
                <w:szCs w:val="19"/>
              </w:rPr>
              <w:t xml:space="preserve">9</w:t>
            </w:r>
          </w:p>
        </w:tc>
        <w:tc>
          <w:tcPr>
            <w:tcW w:type="auto" w:w="1"/>
            <w:tcMar>
              <w:top w:type="dxa" w:w="80"/>
              <w:left w:type="dxa" w:w="100"/>
              <w:bottom w:type="dxa" w:w="80"/>
              <w:right w:type="dxa" w:w="100"/>
            </w:tcMar>
          </w:tcPr>
          <w:p>
            <w:pPr>
              <w:spacing w:after="0"/>
            </w:pPr>
            <w:r>
              <w:rPr>
                <w:b w:val="false"/>
                <w:bCs w:val="false"/>
                <w:sz w:val="19"/>
                <w:szCs w:val="19"/>
              </w:rPr>
              <w:t xml:space="preserve">Verifier Terminal</w:t>
            </w:r>
          </w:p>
        </w:tc>
        <w:tc>
          <w:tcPr>
            <w:tcW w:type="auto" w:w="1"/>
            <w:tcMar>
              <w:top w:type="dxa" w:w="80"/>
              <w:left w:type="dxa" w:w="100"/>
              <w:bottom w:type="dxa" w:w="80"/>
              <w:right w:type="dxa" w:w="100"/>
            </w:tcMar>
          </w:tcPr>
          <w:p>
            <w:pPr>
              <w:spacing w:after="0"/>
            </w:pPr>
            <w:r>
              <w:rPr>
                <w:b w:val="false"/>
                <w:bCs w:val="false"/>
                <w:sz w:val="19"/>
                <w:szCs w:val="19"/>
              </w:rPr>
              <w:t xml:space="preserve">Algorand L1 (App 761383581)</w:t>
            </w:r>
          </w:p>
        </w:tc>
        <w:tc>
          <w:tcPr>
            <w:tcW w:type="auto" w:w="1"/>
            <w:tcMar>
              <w:top w:type="dxa" w:w="80"/>
              <w:left w:type="dxa" w:w="100"/>
              <w:bottom w:type="dxa" w:w="80"/>
              <w:right w:type="dxa" w:w="100"/>
            </w:tcMar>
          </w:tcPr>
          <w:p>
            <w:pPr>
              <w:spacing w:after="0"/>
            </w:pPr>
            <w:r>
              <w:rPr>
                <w:b w:val="false"/>
                <w:bCs w:val="false"/>
                <w:sz w:val="19"/>
                <w:szCs w:val="19"/>
              </w:rPr>
              <w:t xml:space="preserve">Query revocation Box keyed by nullifier hash</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10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Algorand L1</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Verifier Terminal</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Return Valid / Revoked status</w:t>
            </w:r>
          </w:p>
        </w:tc>
      </w:tr>
      <w:tr>
        <w:tc>
          <w:tcPr>
            <w:tcW w:type="auto" w:w="1"/>
            <w:tcMar>
              <w:top w:type="dxa" w:w="80"/>
              <w:left w:type="dxa" w:w="100"/>
              <w:bottom w:type="dxa" w:w="80"/>
              <w:right w:type="dxa" w:w="100"/>
            </w:tcMar>
          </w:tcPr>
          <w:p>
            <w:pPr>
              <w:spacing w:after="0"/>
            </w:pPr>
            <w:r>
              <w:rPr>
                <w:b w:val="false"/>
                <w:bCs w:val="false"/>
                <w:sz w:val="19"/>
                <w:szCs w:val="19"/>
              </w:rPr>
              <w:t xml:space="preserve">11</w:t>
            </w:r>
          </w:p>
        </w:tc>
        <w:tc>
          <w:tcPr>
            <w:tcW w:type="auto" w:w="1"/>
            <w:tcMar>
              <w:top w:type="dxa" w:w="80"/>
              <w:left w:type="dxa" w:w="100"/>
              <w:bottom w:type="dxa" w:w="80"/>
              <w:right w:type="dxa" w:w="100"/>
            </w:tcMar>
          </w:tcPr>
          <w:p>
            <w:pPr>
              <w:spacing w:after="0"/>
            </w:pPr>
            <w:r>
              <w:rPr>
                <w:b w:val="false"/>
                <w:bCs w:val="false"/>
                <w:sz w:val="19"/>
                <w:szCs w:val="19"/>
              </w:rPr>
              <w:t xml:space="preserve">Verifier Terminal</w:t>
            </w:r>
          </w:p>
        </w:tc>
        <w:tc>
          <w:tcPr>
            <w:tcW w:type="auto" w:w="1"/>
            <w:tcMar>
              <w:top w:type="dxa" w:w="80"/>
              <w:left w:type="dxa" w:w="100"/>
              <w:bottom w:type="dxa" w:w="80"/>
              <w:right w:type="dxa" w:w="100"/>
            </w:tcMar>
          </w:tcPr>
          <w:p>
            <w:pPr>
              <w:spacing w:after="0"/>
            </w:pPr>
            <w:r>
              <w:rPr>
                <w:b w:val="false"/>
                <w:bCs w:val="false"/>
                <w:sz w:val="19"/>
                <w:szCs w:val="19"/>
              </w:rPr>
              <w:t xml:space="preserve">Citizen</w:t>
            </w:r>
          </w:p>
        </w:tc>
        <w:tc>
          <w:tcPr>
            <w:tcW w:type="auto" w:w="1"/>
            <w:tcMar>
              <w:top w:type="dxa" w:w="80"/>
              <w:left w:type="dxa" w:w="100"/>
              <w:bottom w:type="dxa" w:w="80"/>
              <w:right w:type="dxa" w:w="100"/>
            </w:tcMar>
          </w:tcPr>
          <w:p>
            <w:pPr>
              <w:spacing w:after="0"/>
            </w:pPr>
            <w:r>
              <w:rPr>
                <w:b w:val="false"/>
                <w:bCs w:val="false"/>
                <w:sz w:val="19"/>
                <w:szCs w:val="19"/>
              </w:rPr>
              <w:t xml:space="preserve">Access granted or denied (0 bytes of PII stored by verifier)</w:t>
            </w:r>
          </w:p>
        </w:tc>
      </w:tr>
    </w:tbl>
    <w:p>
      <w:pPr>
        <w:pStyle w:val="Heading1"/>
        <w:spacing w:after="160" w:before="320"/>
      </w:pPr>
      <w:r>
        <w:t xml:space="preserve">7. Software, Technologies and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Layer</w:t>
            </w:r>
          </w:p>
        </w:tc>
        <w:tc>
          <w:tcPr>
            <w:shd w:fill="1F4E79" w:val="clear"/>
            <w:tcMar>
              <w:top w:type="dxa" w:w="80"/>
              <w:left w:type="dxa" w:w="100"/>
              <w:bottom w:type="dxa" w:w="80"/>
              <w:right w:type="dxa" w:w="100"/>
            </w:tcMar>
          </w:tcPr>
          <w:p>
            <w:pPr>
              <w:spacing w:after="0"/>
            </w:pPr>
            <w:r>
              <w:rPr>
                <w:b/>
                <w:bCs/>
                <w:color w:val="FFFFFF"/>
                <w:sz w:val="19"/>
                <w:szCs w:val="19"/>
              </w:rPr>
              <w:t xml:space="preserve">Technology</w:t>
            </w:r>
          </w:p>
        </w:tc>
        <w:tc>
          <w:tcPr>
            <w:shd w:fill="1F4E79" w:val="clear"/>
            <w:tcMar>
              <w:top w:type="dxa" w:w="80"/>
              <w:left w:type="dxa" w:w="100"/>
              <w:bottom w:type="dxa" w:w="80"/>
              <w:right w:type="dxa" w:w="100"/>
            </w:tcMar>
          </w:tcPr>
          <w:p>
            <w:pPr>
              <w:spacing w:after="0"/>
            </w:pPr>
            <w:r>
              <w:rPr>
                <w:b/>
                <w:bCs/>
                <w:color w:val="FFFFFF"/>
                <w:sz w:val="19"/>
                <w:szCs w:val="19"/>
              </w:rPr>
              <w:t xml:space="preserve">Role &amp; Selection Rationale</w:t>
            </w:r>
          </w:p>
        </w:tc>
      </w:tr>
      <w:tr>
        <w:tc>
          <w:tcPr>
            <w:tcW w:type="auto" w:w="1"/>
            <w:tcMar>
              <w:top w:type="dxa" w:w="80"/>
              <w:left w:type="dxa" w:w="100"/>
              <w:bottom w:type="dxa" w:w="80"/>
              <w:right w:type="dxa" w:w="100"/>
            </w:tcMar>
          </w:tcPr>
          <w:p>
            <w:pPr>
              <w:spacing w:after="0"/>
            </w:pPr>
            <w:r>
              <w:rPr>
                <w:b w:val="false"/>
                <w:bCs w:val="false"/>
                <w:sz w:val="19"/>
                <w:szCs w:val="19"/>
              </w:rPr>
              <w:t xml:space="preserve">ZK Circuit</w:t>
            </w:r>
          </w:p>
        </w:tc>
        <w:tc>
          <w:tcPr>
            <w:tcW w:type="auto" w:w="1"/>
            <w:tcMar>
              <w:top w:type="dxa" w:w="80"/>
              <w:left w:type="dxa" w:w="100"/>
              <w:bottom w:type="dxa" w:w="80"/>
              <w:right w:type="dxa" w:w="100"/>
            </w:tcMar>
          </w:tcPr>
          <w:p>
            <w:pPr>
              <w:spacing w:after="0"/>
            </w:pPr>
            <w:r>
              <w:rPr>
                <w:b w:val="false"/>
                <w:bCs w:val="false"/>
                <w:sz w:val="19"/>
                <w:szCs w:val="19"/>
              </w:rPr>
              <w:t xml:space="preserve">Circom 2.1.0</w:t>
            </w:r>
          </w:p>
        </w:tc>
        <w:tc>
          <w:tcPr>
            <w:tcW w:type="auto" w:w="1"/>
            <w:tcMar>
              <w:top w:type="dxa" w:w="80"/>
              <w:left w:type="dxa" w:w="100"/>
              <w:bottom w:type="dxa" w:w="80"/>
              <w:right w:type="dxa" w:w="100"/>
            </w:tcMar>
          </w:tcPr>
          <w:p>
            <w:pPr>
              <w:spacing w:after="0"/>
            </w:pPr>
            <w:r>
              <w:rPr>
                <w:b w:val="false"/>
                <w:bCs w:val="false"/>
                <w:sz w:val="19"/>
                <w:szCs w:val="19"/>
              </w:rPr>
              <w:t xml:space="preserve">Domain-specific language for R1CS constraint compilation over BN254; selected for native snarkjs integration and community-reviewed tooling.</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Prover Runtime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snarkjs v0.7.3 (WASM)</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Groth16 witness generation and proving in-browser; selected for sub-second-to-low-second mobile prover time without a server dependency (measured results in Section 12).</w:t>
            </w:r>
          </w:p>
        </w:tc>
      </w:tr>
      <w:tr>
        <w:tc>
          <w:tcPr>
            <w:tcW w:type="auto" w:w="1"/>
            <w:tcMar>
              <w:top w:type="dxa" w:w="80"/>
              <w:left w:type="dxa" w:w="100"/>
              <w:bottom w:type="dxa" w:w="80"/>
              <w:right w:type="dxa" w:w="100"/>
            </w:tcMar>
          </w:tcPr>
          <w:p>
            <w:pPr>
              <w:spacing w:after="0"/>
            </w:pPr>
            <w:r>
              <w:rPr>
                <w:b w:val="false"/>
                <w:bCs w:val="false"/>
                <w:sz w:val="19"/>
                <w:szCs w:val="19"/>
              </w:rPr>
              <w:t xml:space="preserve">Hardware Binding</w:t>
            </w:r>
          </w:p>
        </w:tc>
        <w:tc>
          <w:tcPr>
            <w:tcW w:type="auto" w:w="1"/>
            <w:tcMar>
              <w:top w:type="dxa" w:w="80"/>
              <w:left w:type="dxa" w:w="100"/>
              <w:bottom w:type="dxa" w:w="80"/>
              <w:right w:type="dxa" w:w="100"/>
            </w:tcMar>
          </w:tcPr>
          <w:p>
            <w:pPr>
              <w:spacing w:after="0"/>
            </w:pPr>
            <w:r>
              <w:rPr>
                <w:b w:val="false"/>
                <w:bCs w:val="false"/>
                <w:sz w:val="19"/>
                <w:szCs w:val="19"/>
              </w:rPr>
              <w:t xml:space="preserve">W3C WebAuthn / FIDO2</w:t>
            </w:r>
          </w:p>
        </w:tc>
        <w:tc>
          <w:tcPr>
            <w:tcW w:type="auto" w:w="1"/>
            <w:tcMar>
              <w:top w:type="dxa" w:w="80"/>
              <w:left w:type="dxa" w:w="100"/>
              <w:bottom w:type="dxa" w:w="80"/>
              <w:right w:type="dxa" w:w="100"/>
            </w:tcMar>
          </w:tcPr>
          <w:p>
            <w:pPr>
              <w:spacing w:after="0"/>
            </w:pPr>
            <w:r>
              <w:rPr>
                <w:b w:val="false"/>
                <w:bCs w:val="false"/>
                <w:sz w:val="19"/>
                <w:szCs w:val="19"/>
              </w:rPr>
              <w:t xml:space="preserve">Interfaces with Apple Secure Enclave, Android Titan M2, Windows TPM; the relevant W3C standard for cross-platform hardware key management.</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Blockchain</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Algorand L1 (AVM 10+)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Deterministic finality, native bn254_pairing opcode, Box Storage; selected for fixed fees and PPoS finality guarantees.</w:t>
            </w:r>
          </w:p>
        </w:tc>
      </w:tr>
      <w:tr>
        <w:tc>
          <w:tcPr>
            <w:tcW w:type="auto" w:w="1"/>
            <w:tcMar>
              <w:top w:type="dxa" w:w="80"/>
              <w:left w:type="dxa" w:w="100"/>
              <w:bottom w:type="dxa" w:w="80"/>
              <w:right w:type="dxa" w:w="100"/>
            </w:tcMar>
          </w:tcPr>
          <w:p>
            <w:pPr>
              <w:spacing w:after="0"/>
            </w:pPr>
            <w:r>
              <w:rPr>
                <w:b w:val="false"/>
                <w:bCs w:val="false"/>
                <w:sz w:val="19"/>
                <w:szCs w:val="19"/>
              </w:rPr>
              <w:t xml:space="preserve">Smart Contract</w:t>
            </w:r>
          </w:p>
        </w:tc>
        <w:tc>
          <w:tcPr>
            <w:tcW w:type="auto" w:w="1"/>
            <w:tcMar>
              <w:top w:type="dxa" w:w="80"/>
              <w:left w:type="dxa" w:w="100"/>
              <w:bottom w:type="dxa" w:w="80"/>
              <w:right w:type="dxa" w:w="100"/>
            </w:tcMar>
          </w:tcPr>
          <w:p>
            <w:pPr>
              <w:spacing w:after="0"/>
            </w:pPr>
            <w:r>
              <w:rPr>
                <w:b w:val="false"/>
                <w:bCs w:val="false"/>
                <w:sz w:val="19"/>
                <w:szCs w:val="19"/>
              </w:rPr>
              <w:t xml:space="preserve">PyTeal / TEAL 10</w:t>
            </w:r>
          </w:p>
        </w:tc>
        <w:tc>
          <w:tcPr>
            <w:tcW w:type="auto" w:w="1"/>
            <w:tcMar>
              <w:top w:type="dxa" w:w="80"/>
              <w:left w:type="dxa" w:w="100"/>
              <w:bottom w:type="dxa" w:w="80"/>
              <w:right w:type="dxa" w:w="100"/>
            </w:tcMar>
          </w:tcPr>
          <w:p>
            <w:pPr>
              <w:spacing w:after="0"/>
            </w:pPr>
            <w:r>
              <w:rPr>
                <w:b w:val="false"/>
                <w:bCs w:val="false"/>
                <w:sz w:val="19"/>
                <w:szCs w:val="19"/>
              </w:rPr>
              <w:t xml:space="preserve">AVM bytecode for pairing verification and Box indexing.</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Frontend</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React 18 / Vite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Responsive SPA with client-side QR rendering via qrcode.react.</w:t>
            </w:r>
          </w:p>
        </w:tc>
      </w:tr>
      <w:tr>
        <w:tc>
          <w:tcPr>
            <w:tcW w:type="auto" w:w="1"/>
            <w:tcMar>
              <w:top w:type="dxa" w:w="80"/>
              <w:left w:type="dxa" w:w="100"/>
              <w:bottom w:type="dxa" w:w="80"/>
              <w:right w:type="dxa" w:w="100"/>
            </w:tcMar>
          </w:tcPr>
          <w:p>
            <w:pPr>
              <w:spacing w:after="0"/>
            </w:pPr>
            <w:r>
              <w:rPr>
                <w:b w:val="false"/>
                <w:bCs w:val="false"/>
                <w:sz w:val="19"/>
                <w:szCs w:val="19"/>
              </w:rPr>
              <w:t xml:space="preserve">Backend</w:t>
            </w:r>
          </w:p>
        </w:tc>
        <w:tc>
          <w:tcPr>
            <w:tcW w:type="auto" w:w="1"/>
            <w:tcMar>
              <w:top w:type="dxa" w:w="80"/>
              <w:left w:type="dxa" w:w="100"/>
              <w:bottom w:type="dxa" w:w="80"/>
              <w:right w:type="dxa" w:w="100"/>
            </w:tcMar>
          </w:tcPr>
          <w:p>
            <w:pPr>
              <w:spacing w:after="0"/>
            </w:pPr>
            <w:r>
              <w:rPr>
                <w:b w:val="false"/>
                <w:bCs w:val="false"/>
                <w:sz w:val="19"/>
                <w:szCs w:val="19"/>
              </w:rPr>
              <w:t xml:space="preserve">Node.js / Express</w:t>
            </w:r>
          </w:p>
        </w:tc>
        <w:tc>
          <w:tcPr>
            <w:tcW w:type="auto" w:w="1"/>
            <w:tcMar>
              <w:top w:type="dxa" w:w="80"/>
              <w:left w:type="dxa" w:w="100"/>
              <w:bottom w:type="dxa" w:w="80"/>
              <w:right w:type="dxa" w:w="100"/>
            </w:tcMar>
          </w:tcPr>
          <w:p>
            <w:pPr>
              <w:spacing w:after="0"/>
            </w:pPr>
            <w:r>
              <w:rPr>
                <w:b w:val="false"/>
                <w:bCs w:val="false"/>
                <w:sz w:val="19"/>
                <w:szCs w:val="19"/>
              </w:rPr>
              <w:t xml:space="preserve">REST API for challenge issuance and Algorand SDK integration.</w:t>
            </w:r>
          </w:p>
        </w:tc>
      </w:tr>
    </w:tbl>
    <w:p>
      <w:pPr>
        <w:pStyle w:val="Heading1"/>
        <w:spacing w:after="160" w:before="320"/>
      </w:pPr>
      <w:r>
        <w:t xml:space="preserve">8. Algorithms and Computational Methods</w:t>
      </w:r>
    </w:p>
    <w:p>
      <w:pPr>
        <w:pStyle w:val="Heading2"/>
        <w:spacing w:after="120" w:before="240"/>
      </w:pPr>
      <w:r>
        <w:t xml:space="preserve">8.1 Groth16 Bilinear Pairing Verification</w:t>
      </w:r>
    </w:p>
    <w:p>
      <w:pPr>
        <w:spacing w:after="160" w:line="276"/>
        <w:jc w:val="both"/>
      </w:pPr>
      <w:r>
        <w:t xml:space="preserve">The Algorand AVM smart contract verifies the proof pi = (A in G1, B in G2, C in G1) against the verification key (alpha, beta, gamma, delta, IC) using:</w:t>
      </w:r>
    </w:p>
    <w:p>
      <w:pPr>
        <w:spacing w:after="160" w:line="276"/>
        <w:jc w:val="1"/>
      </w:pPr>
      <w:r>
        <w:t xml:space="preserve">e(A, B) = e(alpha, beta) * e(IC_0 + Sum_{i=1}^{l} x_i * IC_i, gamma) * e(C, delta)</w:t>
      </w:r>
    </w:p>
    <w:p>
      <w:pPr>
        <w:spacing w:after="160" w:line="276"/>
        <w:jc w:val="both"/>
      </w:pPr>
      <w:r>
        <w:t xml:space="preserve">This evaluates whether the quadratic arithmetic program (QAP) polynomials divide cleanly, without exposing any private witness wire values. The pairing executes via Algorand's native bn254_pairing opcode within the per-transaction opcode budget (measured in Section 12).</w:t>
      </w:r>
    </w:p>
    <w:p>
      <w:pPr>
        <w:pStyle w:val="Heading2"/>
        <w:spacing w:after="120" w:before="240"/>
      </w:pPr>
      <w:r>
        <w:t xml:space="preserve">8.2 Age Validation Circuit (age_proof.circom)</w:t>
      </w:r>
    </w:p>
    <w:p>
      <w:pPr>
        <w:shd w:fill="F2F2F2"/>
        <w:spacing w:after="0" w:line="250"/>
      </w:pPr>
      <w:r>
        <w:rPr>
          <w:rFonts w:ascii="Consolas" w:cs="Consolas" w:eastAsia="Consolas" w:hAnsi="Consolas"/>
          <w:sz w:val="18"/>
          <w:szCs w:val="18"/>
        </w:rPr>
        <w:t xml:space="preserve">pragma circom 2.1.0;</w:t>
      </w:r>
    </w:p>
    <w:p>
      <w:pPr>
        <w:shd w:fill="F2F2F2"/>
        <w:spacing w:after="0" w:line="250"/>
      </w:pPr>
      <w:r>
        <w:rPr>
          <w:rFonts w:ascii="Consolas" w:cs="Consolas" w:eastAsia="Consolas" w:hAnsi="Consolas"/>
          <w:sz w:val="18"/>
          <w:szCs w:val="18"/>
        </w:rPr>
        <w:t xml:space="preserve">include "bitify.circom";</w:t>
      </w:r>
    </w:p>
    <w:p>
      <w:pPr>
        <w:shd w:fill="F2F2F2"/>
        <w:spacing w:after="0" w:line="250"/>
      </w:pPr>
      <w:r>
        <w:rPr>
          <w:rFonts w:ascii="Consolas" w:cs="Consolas" w:eastAsia="Consolas" w:hAnsi="Consolas"/>
          <w:sz w:val="18"/>
          <w:szCs w:val="18"/>
        </w:rPr>
        <w:t xml:space="preserve">include "comparators.circom";</w:t>
      </w:r>
    </w:p>
    <w:p>
      <w:pPr>
        <w:shd w:fill="F2F2F2"/>
        <w:spacing w:after="0" w:line="250"/>
      </w:pPr>
      <w:r>
        <w:rPr>
          <w:rFonts w:ascii="Consolas" w:cs="Consolas" w:eastAsia="Consolas" w:hAnsi="Consolas"/>
          <w:sz w:val="18"/>
          <w:szCs w:val="18"/>
        </w:rPr>
        <w:t xml:space="preserve"> </w:t>
      </w:r>
    </w:p>
    <w:p>
      <w:pPr>
        <w:shd w:fill="F2F2F2"/>
        <w:spacing w:after="0" w:line="250"/>
      </w:pPr>
      <w:r>
        <w:rPr>
          <w:rFonts w:ascii="Consolas" w:cs="Consolas" w:eastAsia="Consolas" w:hAnsi="Consolas"/>
          <w:sz w:val="18"/>
          <w:szCs w:val="18"/>
        </w:rPr>
        <w:t xml:space="preserve">template AgeProof() {</w:t>
      </w:r>
    </w:p>
    <w:p>
      <w:pPr>
        <w:shd w:fill="F2F2F2"/>
        <w:spacing w:after="0" w:line="250"/>
      </w:pPr>
      <w:r>
        <w:rPr>
          <w:rFonts w:ascii="Consolas" w:cs="Consolas" w:eastAsia="Consolas" w:hAnsi="Consolas"/>
          <w:sz w:val="18"/>
          <w:szCs w:val="18"/>
        </w:rPr>
        <w:t xml:space="preserve">  signal input birthYear;      // Private witness (never leaves device)</w:t>
      </w:r>
    </w:p>
    <w:p>
      <w:pPr>
        <w:shd w:fill="F2F2F2"/>
        <w:spacing w:after="0" w:line="250"/>
      </w:pPr>
      <w:r>
        <w:rPr>
          <w:rFonts w:ascii="Consolas" w:cs="Consolas" w:eastAsia="Consolas" w:hAnsi="Consolas"/>
          <w:sz w:val="18"/>
          <w:szCs w:val="18"/>
        </w:rPr>
        <w:t xml:space="preserve">  signal input currentYear;    // Public instance</w:t>
      </w:r>
    </w:p>
    <w:p>
      <w:pPr>
        <w:shd w:fill="F2F2F2"/>
        <w:spacing w:after="0" w:line="250"/>
      </w:pPr>
      <w:r>
        <w:rPr>
          <w:rFonts w:ascii="Consolas" w:cs="Consolas" w:eastAsia="Consolas" w:hAnsi="Consolas"/>
          <w:sz w:val="18"/>
          <w:szCs w:val="18"/>
        </w:rPr>
        <w:t xml:space="preserve">  signal input ageThreshold;   // Public instance (e.g., 18)</w:t>
      </w:r>
    </w:p>
    <w:p>
      <w:pPr>
        <w:shd w:fill="F2F2F2"/>
        <w:spacing w:after="0" w:line="250"/>
      </w:pPr>
      <w:r>
        <w:rPr>
          <w:rFonts w:ascii="Consolas" w:cs="Consolas" w:eastAsia="Consolas" w:hAnsi="Consolas"/>
          <w:sz w:val="18"/>
          <w:szCs w:val="18"/>
        </w:rPr>
        <w:t xml:space="preserve">  signal output isOverAge;</w:t>
      </w:r>
    </w:p>
    <w:p>
      <w:pPr>
        <w:shd w:fill="F2F2F2"/>
        <w:spacing w:after="0" w:line="250"/>
      </w:pPr>
      <w:r>
        <w:rPr>
          <w:rFonts w:ascii="Consolas" w:cs="Consolas" w:eastAsia="Consolas" w:hAnsi="Consolas"/>
          <w:sz w:val="18"/>
          <w:szCs w:val="18"/>
        </w:rPr>
        <w:t xml:space="preserve"> </w:t>
      </w:r>
    </w:p>
    <w:p>
      <w:pPr>
        <w:shd w:fill="F2F2F2"/>
        <w:spacing w:after="0" w:line="250"/>
      </w:pPr>
      <w:r>
        <w:rPr>
          <w:rFonts w:ascii="Consolas" w:cs="Consolas" w:eastAsia="Consolas" w:hAnsi="Consolas"/>
          <w:sz w:val="18"/>
          <w:szCs w:val="18"/>
        </w:rPr>
        <w:t xml:space="preserve">  signal calculatedAge;</w:t>
      </w:r>
    </w:p>
    <w:p>
      <w:pPr>
        <w:shd w:fill="F2F2F2"/>
        <w:spacing w:after="0" w:line="250"/>
      </w:pPr>
      <w:r>
        <w:rPr>
          <w:rFonts w:ascii="Consolas" w:cs="Consolas" w:eastAsia="Consolas" w:hAnsi="Consolas"/>
          <w:sz w:val="18"/>
          <w:szCs w:val="18"/>
        </w:rPr>
        <w:t xml:space="preserve">  calculatedAge &lt;-- currentYear - birthYear;</w:t>
      </w:r>
    </w:p>
    <w:p>
      <w:pPr>
        <w:shd w:fill="F2F2F2"/>
        <w:spacing w:after="0" w:line="250"/>
      </w:pPr>
      <w:r>
        <w:rPr>
          <w:rFonts w:ascii="Consolas" w:cs="Consolas" w:eastAsia="Consolas" w:hAnsi="Consolas"/>
          <w:sz w:val="18"/>
          <w:szCs w:val="18"/>
        </w:rPr>
        <w:t xml:space="preserve"> </w:t>
      </w:r>
    </w:p>
    <w:p>
      <w:pPr>
        <w:shd w:fill="F2F2F2"/>
        <w:spacing w:after="0" w:line="250"/>
      </w:pPr>
      <w:r>
        <w:rPr>
          <w:rFonts w:ascii="Consolas" w:cs="Consolas" w:eastAsia="Consolas" w:hAnsi="Consolas"/>
          <w:sz w:val="18"/>
          <w:szCs w:val="18"/>
        </w:rPr>
        <w:t xml:space="preserve">  component num2bits = Num2Bits(7);  // Range-check to [0, 127]</w:t>
      </w:r>
    </w:p>
    <w:p>
      <w:pPr>
        <w:shd w:fill="F2F2F2"/>
        <w:spacing w:after="0" w:line="250"/>
      </w:pPr>
      <w:r>
        <w:rPr>
          <w:rFonts w:ascii="Consolas" w:cs="Consolas" w:eastAsia="Consolas" w:hAnsi="Consolas"/>
          <w:sz w:val="18"/>
          <w:szCs w:val="18"/>
        </w:rPr>
        <w:t xml:space="preserve">  num2bits.in &lt;== calculatedAge;</w:t>
      </w:r>
    </w:p>
    <w:p>
      <w:pPr>
        <w:shd w:fill="F2F2F2"/>
        <w:spacing w:after="0" w:line="250"/>
      </w:pPr>
      <w:r>
        <w:rPr>
          <w:rFonts w:ascii="Consolas" w:cs="Consolas" w:eastAsia="Consolas" w:hAnsi="Consolas"/>
          <w:sz w:val="18"/>
          <w:szCs w:val="18"/>
        </w:rPr>
        <w:t xml:space="preserve"> </w:t>
      </w:r>
    </w:p>
    <w:p>
      <w:pPr>
        <w:shd w:fill="F2F2F2"/>
        <w:spacing w:after="0" w:line="250"/>
      </w:pPr>
      <w:r>
        <w:rPr>
          <w:rFonts w:ascii="Consolas" w:cs="Consolas" w:eastAsia="Consolas" w:hAnsi="Consolas"/>
          <w:sz w:val="18"/>
          <w:szCs w:val="18"/>
        </w:rPr>
        <w:t xml:space="preserve">  component gte = GreaterEqThan(7);</w:t>
      </w:r>
    </w:p>
    <w:p>
      <w:pPr>
        <w:shd w:fill="F2F2F2"/>
        <w:spacing w:after="0" w:line="250"/>
      </w:pPr>
      <w:r>
        <w:rPr>
          <w:rFonts w:ascii="Consolas" w:cs="Consolas" w:eastAsia="Consolas" w:hAnsi="Consolas"/>
          <w:sz w:val="18"/>
          <w:szCs w:val="18"/>
        </w:rPr>
        <w:t xml:space="preserve">  gte.in[0] &lt;== calculatedAge;</w:t>
      </w:r>
    </w:p>
    <w:p>
      <w:pPr>
        <w:shd w:fill="F2F2F2"/>
        <w:spacing w:after="0" w:line="250"/>
      </w:pPr>
      <w:r>
        <w:rPr>
          <w:rFonts w:ascii="Consolas" w:cs="Consolas" w:eastAsia="Consolas" w:hAnsi="Consolas"/>
          <w:sz w:val="18"/>
          <w:szCs w:val="18"/>
        </w:rPr>
        <w:t xml:space="preserve">  gte.in[1] &lt;== ageThreshold;</w:t>
      </w:r>
    </w:p>
    <w:p>
      <w:pPr>
        <w:shd w:fill="F2F2F2"/>
        <w:spacing w:after="0" w:line="250"/>
      </w:pPr>
      <w:r>
        <w:rPr>
          <w:rFonts w:ascii="Consolas" w:cs="Consolas" w:eastAsia="Consolas" w:hAnsi="Consolas"/>
          <w:sz w:val="18"/>
          <w:szCs w:val="18"/>
        </w:rPr>
        <w:t xml:space="preserve">  isOverAge &lt;== gte.out;</w:t>
      </w:r>
    </w:p>
    <w:p>
      <w:pPr>
        <w:shd w:fill="F2F2F2"/>
        <w:spacing w:after="0" w:line="250"/>
      </w:pPr>
      <w:r>
        <w:rPr>
          <w:rFonts w:ascii="Consolas" w:cs="Consolas" w:eastAsia="Consolas" w:hAnsi="Consolas"/>
          <w:sz w:val="18"/>
          <w:szCs w:val="18"/>
        </w:rPr>
        <w:t xml:space="preserve">  isOverAge === 1;  // Enforce truth constraint</w:t>
      </w:r>
    </w:p>
    <w:p>
      <w:pPr>
        <w:shd w:fill="F2F2F2"/>
        <w:spacing w:after="0" w:line="250"/>
      </w:pPr>
      <w:r>
        <w:rPr>
          <w:rFonts w:ascii="Consolas" w:cs="Consolas" w:eastAsia="Consolas" w:hAnsi="Consolas"/>
          <w:sz w:val="18"/>
          <w:szCs w:val="18"/>
        </w:rPr>
        <w:t xml:space="preserve">}</w:t>
      </w:r>
    </w:p>
    <w:p>
      <w:pPr>
        <w:shd w:fill="F2F2F2"/>
        <w:spacing w:after="0" w:line="250"/>
      </w:pPr>
      <w:r>
        <w:rPr>
          <w:rFonts w:ascii="Consolas" w:cs="Consolas" w:eastAsia="Consolas" w:hAnsi="Consolas"/>
          <w:sz w:val="18"/>
          <w:szCs w:val="18"/>
        </w:rPr>
        <w:t xml:space="preserve">component main {public [currentYear, ageThreshold]} = AgeProof();</w:t>
      </w:r>
    </w:p>
    <w:p>
      <w:pPr>
        <w:spacing w:after="160"/>
      </w:pPr>
    </w:p>
    <w:p>
      <w:pPr>
        <w:pStyle w:val="Heading2"/>
        <w:spacing w:after="120" w:before="240"/>
      </w:pPr>
      <w:r>
        <w:t xml:space="preserve">8.3 Poseidon Nullifier Generation</w:t>
      </w:r>
    </w:p>
    <w:p>
      <w:pPr>
        <w:spacing w:after="160" w:line="276"/>
        <w:jc w:val="both"/>
      </w:pPr>
      <w:r>
        <w:t xml:space="preserve">NullifierHash = Poseidon(Aadhaar_Secret_Salt, SHA256(UID_Raw), RelyingParty_ID). Poseidon is selected because it requires substantially fewer R1CS constraints per hash than SHA-256 would require inside a circuit, making it more efficient for in-circuit computation. The RelyingParty_ID scoping is intended to ensure cross-platform unlinkability: proofs generated for two different relying parties produce nullifiers that are not directly correlatable to one another (see the unlinkability test in Section 12).</w:t>
      </w:r>
    </w:p>
    <w:p>
      <w:pPr>
        <w:pStyle w:val="Heading2"/>
        <w:spacing w:after="120" w:before="240"/>
      </w:pPr>
      <w:r>
        <w:t xml:space="preserve">8.4 Hardware-Enclave Parameter Hash-Chaining (Core Inventive Step)</w:t>
      </w:r>
    </w:p>
    <w:p>
      <w:pPr>
        <w:spacing w:after="160" w:line="276"/>
        <w:jc w:val="both"/>
      </w:pPr>
      <w:r>
        <w:t xml:space="preserve">Challenge_HW = SHA-256(Proof_A_bytes || Proof_B_bytes || Proof_C_bytes || NullifierHash || Timestamp || Nonce). The hardware secure enclave signs Challenge_HW using its isolated ECDSA-P256 private key (secp256r1), producing signature sigma = (r, s). The relying party verifies both: (1) the Groth16 pairing equation, and (2) the ECDSA signature sigma over Challenge_HW - providing evidence that the proof was computed and authorized on a specific enrolled device with biometric confirmation at presentation time. This binding is a property of the enrolled device and its enclave; it does not by itself prevent misuse if the device itself is compromised, malware-infected, or its biometric gate is coerced (see Section 14, Limitations).</w:t>
      </w:r>
    </w:p>
    <w:p>
      <w:pPr>
        <w:pStyle w:val="Heading1"/>
        <w:spacing w:after="160" w:before="320"/>
      </w:pPr>
      <w:r>
        <w:t xml:space="preserve">9. Database and Data Management</w:t>
      </w:r>
    </w:p>
    <w:p>
      <w:pPr>
        <w:spacing w:after="160" w:line="276"/>
        <w:jc w:val="both"/>
      </w:pPr>
      <w:r>
        <w:t xml:space="preserve">ZERO-ID is designed to avoid centralized databases in the identity verification pipeline. The only persistent state is the on-chain revocation index:</w:t>
      </w:r>
    </w:p>
    <w:p>
      <w:pPr>
        <w:pStyle w:val="ListParagraph"/>
        <w:numPr>
          <w:ilvl w:val="0"/>
          <w:numId w:val="1"/>
        </w:numPr>
        <w:spacing w:after="100" w:line="276"/>
      </w:pPr>
      <w:r>
        <w:t xml:space="preserve">Box Key (32 bytes): binary encoding of the Poseidon NullifierHash.</w:t>
      </w:r>
    </w:p>
    <w:p>
      <w:pPr>
        <w:pStyle w:val="ListParagraph"/>
        <w:numPr>
          <w:ilvl w:val="0"/>
          <w:numId w:val="1"/>
        </w:numPr>
        <w:spacing w:after="100" w:line="276"/>
      </w:pPr>
      <w:r>
        <w:t xml:space="preserve">Box Value (1 byte): revocation flag (0x00 = ACTIVE; 0x01 = REVOKED).</w:t>
      </w:r>
    </w:p>
    <w:p>
      <w:pPr>
        <w:pStyle w:val="ListParagraph"/>
        <w:numPr>
          <w:ilvl w:val="0"/>
          <w:numId w:val="1"/>
        </w:numPr>
        <w:spacing w:after="100" w:line="276"/>
      </w:pPr>
      <w:r>
        <w:t xml:space="preserve">Minimum Balance Requirement: 0.0025 ALGO + (0.0004 x 33 bytes) = 0.0157 ALGO (approx. $0.003 USD at time of writing).</w:t>
      </w:r>
    </w:p>
    <w:p>
      <w:pPr>
        <w:pStyle w:val="ListParagraph"/>
        <w:numPr>
          <w:ilvl w:val="0"/>
          <w:numId w:val="1"/>
        </w:numPr>
        <w:spacing w:after="100" w:line="276"/>
      </w:pPr>
      <w:r>
        <w:t xml:space="preserve">Lookup Complexity: O(1) constant-time.</w:t>
      </w:r>
    </w:p>
    <w:p>
      <w:pPr>
        <w:pStyle w:val="ListParagraph"/>
        <w:numPr>
          <w:ilvl w:val="0"/>
          <w:numId w:val="1"/>
        </w:numPr>
        <w:spacing w:after="100" w:line="276"/>
      </w:pPr>
      <w:r>
        <w:t xml:space="preserve">Client-Side Memory: XML, RSA certs, and witness arrays are allocated in short-lived closures and overwritten (crypto.getRandomValues()) before garbage collection.</w:t>
      </w:r>
    </w:p>
    <w:p>
      <w:pPr>
        <w:pStyle w:val="Heading1"/>
        <w:spacing w:after="160" w:before="320"/>
      </w:pPr>
      <w:r>
        <w:t xml:space="preserve">10. User Interface Design</w:t>
      </w:r>
    </w:p>
    <w:p>
      <w:pPr>
        <w:pStyle w:val="ListParagraph"/>
        <w:numPr>
          <w:ilvl w:val="0"/>
          <w:numId w:val="1"/>
        </w:numPr>
        <w:spacing w:after="100" w:line="276"/>
      </w:pPr>
      <w:r>
        <w:t xml:space="preserve">Citizen Portal: drag-and-drop ingestion of password-protected Aadhaar Zip/XML files with real-time RSA signature status indicators.</w:t>
      </w:r>
    </w:p>
    <w:p>
      <w:pPr>
        <w:pStyle w:val="ListParagraph"/>
        <w:numPr>
          <w:ilvl w:val="0"/>
          <w:numId w:val="1"/>
        </w:numPr>
        <w:spacing w:after="100" w:line="276"/>
      </w:pPr>
      <w:r>
        <w:t xml:space="preserve">Predicate Selector: consent-controlled predicate selectors (Age &gt;= 18, State Residency, Taxpayer Status) with clear labelling of what data will and will not be transmitted.</w:t>
      </w:r>
    </w:p>
    <w:p>
      <w:pPr>
        <w:pStyle w:val="ListParagraph"/>
        <w:numPr>
          <w:ilvl w:val="0"/>
          <w:numId w:val="1"/>
        </w:numPr>
        <w:spacing w:after="100" w:line="276"/>
      </w:pPr>
      <w:r>
        <w:t xml:space="preserve">Passkey Modal: native system biometric dialogs (Touch ID / Face ID / Windows Hello) for hardware-enclave binding.</w:t>
      </w:r>
    </w:p>
    <w:p>
      <w:pPr>
        <w:pStyle w:val="ListParagraph"/>
        <w:numPr>
          <w:ilvl w:val="0"/>
          <w:numId w:val="1"/>
        </w:numPr>
        <w:spacing w:after="100" w:line="276"/>
      </w:pPr>
      <w:r>
        <w:t xml:space="preserve">Proof Presenter: QR code generator embedding the composite 128-byte proof bundle.</w:t>
      </w:r>
    </w:p>
    <w:p>
      <w:pPr>
        <w:pStyle w:val="ListParagraph"/>
        <w:numPr>
          <w:ilvl w:val="0"/>
          <w:numId w:val="1"/>
        </w:numPr>
        <w:spacing w:after="100" w:line="276"/>
      </w:pPr>
      <w:r>
        <w:t xml:space="preserve">Verifier Terminal: QR scanner with a verification dashboard showing (1) math proof validity, (2) hardware enclave signature validity, (3) real-time Algorand revocation state, and (4) timestamp freshness.</w:t>
      </w:r>
    </w:p>
    <w:p>
      <w:pPr>
        <w:pStyle w:val="ListParagraph"/>
        <w:numPr>
          <w:ilvl w:val="0"/>
          <w:numId w:val="1"/>
        </w:numPr>
        <w:spacing w:after="100" w:line="276"/>
      </w:pPr>
      <w:r>
        <w:t xml:space="preserve">Kill-Switch Dashboard: revocation interface that writes to Algorand Box Storage, invalidating active credentials within the measured propagation window (Section 12).</w:t>
      </w:r>
    </w:p>
    <w:p>
      <w:pPr>
        <w:pStyle w:val="Heading1"/>
        <w:spacing w:after="160" w:before="320"/>
      </w:pPr>
      <w:r>
        <w:t xml:space="preserve">11. Implementation Modules</w:t>
      </w:r>
    </w:p>
    <w:p>
      <w:pPr>
        <w:spacing w:after="60" w:before="160"/>
      </w:pPr>
      <w:r>
        <w:rPr>
          <w:b/>
          <w:bCs/>
        </w:rPr>
        <w:t xml:space="preserve">Module 1: Secure Ingestion &amp; Witness Extraction</w:t>
      </w:r>
    </w:p>
    <w:p>
      <w:pPr>
        <w:spacing w:after="160" w:line="276"/>
        <w:jc w:val="both"/>
      </w:pPr>
      <w:r>
        <w:t xml:space="preserve">Environment: edge browser runtime (Web Crypto API). Function: verifies RSA-2048 XML-DSig against UIDAI root certificates; extracts birthYear into volatile memory; purges XML buffers post-extraction.</w:t>
      </w:r>
    </w:p>
    <w:p>
      <w:pPr>
        <w:spacing w:after="60" w:before="160"/>
      </w:pPr>
      <w:r>
        <w:rPr>
          <w:b/>
          <w:bCs/>
        </w:rPr>
        <w:t xml:space="preserve">Module 2: Client-Side Constraint Proving Engine</w:t>
      </w:r>
    </w:p>
    <w:p>
      <w:pPr>
        <w:spacing w:after="160" w:line="276"/>
        <w:jc w:val="both"/>
      </w:pPr>
      <w:r>
        <w:t xml:space="preserve">Environment: snarkjs / WebAssembly (Circom R1CS). Function: evaluates the R1CS matrix; generates Groth16 proof points (A, B, C) over BN254; computes the 32-byte Poseidon nullifier hash. Output: 128-byte proof + 32-byte nullifier.</w:t>
      </w:r>
    </w:p>
    <w:p>
      <w:pPr>
        <w:spacing w:after="60" w:before="160"/>
      </w:pPr>
      <w:r>
        <w:rPr>
          <w:b/>
          <w:bCs/>
        </w:rPr>
        <w:t xml:space="preserve">Module 3: Hardware-Enclave Attestation</w:t>
      </w:r>
    </w:p>
    <w:p>
      <w:pPr>
        <w:spacing w:after="160" w:line="276"/>
        <w:jc w:val="both"/>
      </w:pPr>
      <w:r>
        <w:t xml:space="preserve">Environment: W3C WebAuthn / FIDO2 platform authenticator. Function: constructs the SHA-256 challenge from proof parameters; prompts the biometric gate; signs the challenge using the isolated non-exportable ECDSA-P256 key.</w:t>
      </w:r>
    </w:p>
    <w:p>
      <w:pPr>
        <w:spacing w:after="60" w:before="160"/>
      </w:pPr>
      <w:r>
        <w:rPr>
          <w:b/>
          <w:bCs/>
        </w:rPr>
        <w:t xml:space="preserve">Module 4: Decentralized Verification &amp; Revocation</w:t>
      </w:r>
    </w:p>
    <w:p>
      <w:pPr>
        <w:spacing w:after="160" w:line="276"/>
        <w:jc w:val="both"/>
      </w:pPr>
      <w:r>
        <w:t xml:space="preserve">Environment: Algorand AVM 10+ (TestNet App IDs 761383580 &amp; 761383581). Function: executes the bn254_pairing opcode for proof verification; performs an O(1) Box Storage lookup for revocation status. Output: Boolean verdict.</w:t>
      </w:r>
    </w:p>
    <w:p>
      <w:pPr>
        <w:pStyle w:val="Heading1"/>
        <w:spacing w:after="160" w:before="320"/>
      </w:pPr>
      <w:r>
        <w:t xml:space="preserve">12. Testing, Validation and Empirical Results</w:t>
      </w:r>
    </w:p>
    <w:p>
      <w:pPr>
        <w:spacing w:after="160" w:line="276"/>
        <w:jc w:val="both"/>
      </w:pPr>
      <w:r>
        <w:t xml:space="preserve">To support the 'technical effect' argument under Section 3(k) of the Indian Patents Act 1970 and the Ferid Allani precedent, ZERO-ID was evaluated through automated benchmarking and adversarial security testing on Algorand TestNet and representative consumer hardware, as reported by the inventors below.</w:t>
      </w:r>
    </w:p>
    <w:p>
      <w:pPr>
        <w:pStyle w:val="Heading2"/>
        <w:spacing w:after="120" w:before="240"/>
      </w:pPr>
      <w:r>
        <w:t xml:space="preserve">12.1 Test Environment</w:t>
      </w:r>
    </w:p>
    <w:p>
      <w:pPr>
        <w:pStyle w:val="ListParagraph"/>
        <w:numPr>
          <w:ilvl w:val="0"/>
          <w:numId w:val="1"/>
        </w:numPr>
        <w:spacing w:after="100" w:line="276"/>
      </w:pPr>
      <w:r>
        <w:t xml:space="preserve">Client-side proving - desktop: Apple MacBook Air (Apple M2 SoC, 8-core CPU, 16 GB unified memory, macOS 14.2) and a Windows 11 PC (Intel Core i7-12700H, 16 GB DDR4).</w:t>
      </w:r>
    </w:p>
    <w:p>
      <w:pPr>
        <w:pStyle w:val="ListParagraph"/>
        <w:numPr>
          <w:ilvl w:val="0"/>
          <w:numId w:val="1"/>
        </w:numPr>
        <w:spacing w:after="100" w:line="276"/>
      </w:pPr>
      <w:r>
        <w:t xml:space="preserve">Client-side proving - mobile: Google Pixel 7 (Google Tensor G2 SoC, 8 GB RAM, Android 14).</w:t>
      </w:r>
    </w:p>
    <w:p>
      <w:pPr>
        <w:pStyle w:val="ListParagraph"/>
        <w:numPr>
          <w:ilvl w:val="0"/>
          <w:numId w:val="1"/>
        </w:numPr>
        <w:spacing w:after="100" w:line="276"/>
      </w:pPr>
      <w:r>
        <w:t xml:space="preserve">Execution runtime: Google Chrome / Chromium V8 WebAssembly JIT engine (v120+).</w:t>
      </w:r>
    </w:p>
    <w:p>
      <w:pPr>
        <w:pStyle w:val="ListParagraph"/>
        <w:numPr>
          <w:ilvl w:val="0"/>
          <w:numId w:val="1"/>
        </w:numPr>
        <w:spacing w:after="100" w:line="276"/>
      </w:pPr>
      <w:r>
        <w:t xml:space="preserve">Prover toolchain: snarkjs v0.7.3 running a precompiled WebAssembly witness generator (age_proof.wasm) and a Groth16 prover over BN254 using a Phase-2 proving key (age_proof_final.zkey).</w:t>
      </w:r>
    </w:p>
    <w:p>
      <w:pPr>
        <w:pStyle w:val="ListParagraph"/>
        <w:numPr>
          <w:ilvl w:val="0"/>
          <w:numId w:val="1"/>
        </w:numPr>
        <w:spacing w:after="100" w:line="276"/>
      </w:pPr>
      <w:r>
        <w:t xml:space="preserve">Memory footprint: measured via Chrome DevTools / V8 Heap Profiler - peak allocation of approximately 42 MB (desktop) and 48 MB (mobile) during witness generation.</w:t>
      </w:r>
    </w:p>
    <w:p>
      <w:pPr>
        <w:pStyle w:val="ListParagraph"/>
        <w:numPr>
          <w:ilvl w:val="0"/>
          <w:numId w:val="1"/>
        </w:numPr>
        <w:spacing w:after="100" w:line="276"/>
      </w:pPr>
      <w:r>
        <w:t xml:space="preserve">Revocation network: Algorand TestNet (protocol v3.22.0, AVM 10+ with the native bn254_pairing opcode and Box Storage support), accessed via the Algonode public TestNet cluster and a local Algorand Sandbox node.</w:t>
      </w:r>
    </w:p>
    <w:p>
      <w:pPr>
        <w:pStyle w:val="ListParagraph"/>
        <w:numPr>
          <w:ilvl w:val="0"/>
          <w:numId w:val="1"/>
        </w:numPr>
        <w:spacing w:after="100" w:line="276"/>
      </w:pPr>
      <w:r>
        <w:t xml:space="preserve">Revocation transaction: an Algorand Application Call (appl) transaction with a Box reference specifying the 32-byte NullifierHash key and a 1-byte state value.</w:t>
      </w:r>
    </w:p>
    <w:p>
      <w:pPr>
        <w:pStyle w:val="Heading2"/>
        <w:spacing w:after="120" w:before="240"/>
      </w:pPr>
      <w:r>
        <w:t xml:space="preserve">12.2 Measured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Mar>
              <w:top w:type="dxa" w:w="80"/>
              <w:left w:type="dxa" w:w="100"/>
              <w:bottom w:type="dxa" w:w="80"/>
              <w:right w:type="dxa" w:w="100"/>
            </w:tcMar>
          </w:tcPr>
          <w:p>
            <w:pPr>
              <w:spacing w:after="0"/>
            </w:pPr>
            <w:r>
              <w:rPr>
                <w:b/>
                <w:bCs/>
                <w:color w:val="FFFFFF"/>
                <w:sz w:val="19"/>
                <w:szCs w:val="19"/>
              </w:rPr>
              <w:t xml:space="preserve">Metric</w:t>
            </w:r>
          </w:p>
        </w:tc>
        <w:tc>
          <w:tcPr>
            <w:shd w:fill="1F4E79" w:val="clear"/>
            <w:tcMar>
              <w:top w:type="dxa" w:w="80"/>
              <w:left w:type="dxa" w:w="100"/>
              <w:bottom w:type="dxa" w:w="80"/>
              <w:right w:type="dxa" w:w="100"/>
            </w:tcMar>
          </w:tcPr>
          <w:p>
            <w:pPr>
              <w:spacing w:after="0"/>
            </w:pPr>
            <w:r>
              <w:rPr>
                <w:b/>
                <w:bCs/>
                <w:color w:val="FFFFFF"/>
                <w:sz w:val="19"/>
                <w:szCs w:val="19"/>
              </w:rPr>
              <w:t xml:space="preserve">Sample Size (N)</w:t>
            </w:r>
          </w:p>
        </w:tc>
        <w:tc>
          <w:tcPr>
            <w:shd w:fill="1F4E79" w:val="clear"/>
            <w:tcMar>
              <w:top w:type="dxa" w:w="80"/>
              <w:left w:type="dxa" w:w="100"/>
              <w:bottom w:type="dxa" w:w="80"/>
              <w:right w:type="dxa" w:w="100"/>
            </w:tcMar>
          </w:tcPr>
          <w:p>
            <w:pPr>
              <w:spacing w:after="0"/>
            </w:pPr>
            <w:r>
              <w:rPr>
                <w:b/>
                <w:bCs/>
                <w:color w:val="FFFFFF"/>
                <w:sz w:val="19"/>
                <w:szCs w:val="19"/>
              </w:rPr>
              <w:t xml:space="preserve">Result</w:t>
            </w:r>
          </w:p>
        </w:tc>
        <w:tc>
          <w:tcPr>
            <w:shd w:fill="1F4E79" w:val="clear"/>
            <w:tcMar>
              <w:top w:type="dxa" w:w="80"/>
              <w:left w:type="dxa" w:w="100"/>
              <w:bottom w:type="dxa" w:w="80"/>
              <w:right w:type="dxa" w:w="100"/>
            </w:tcMar>
          </w:tcPr>
          <w:p>
            <w:pPr>
              <w:spacing w:after="0"/>
            </w:pPr>
            <w:r>
              <w:rPr>
                <w:b/>
                <w:bCs/>
                <w:color w:val="FFFFFF"/>
                <w:sz w:val="19"/>
                <w:szCs w:val="19"/>
              </w:rPr>
              <w:t xml:space="preserve">Methodology</w:t>
            </w:r>
          </w:p>
        </w:tc>
      </w:tr>
      <w:tr>
        <w:tc>
          <w:tcPr>
            <w:tcW w:type="auto" w:w="1"/>
            <w:tcMar>
              <w:top w:type="dxa" w:w="80"/>
              <w:left w:type="dxa" w:w="100"/>
              <w:bottom w:type="dxa" w:w="80"/>
              <w:right w:type="dxa" w:w="100"/>
            </w:tcMar>
          </w:tcPr>
          <w:p>
            <w:pPr>
              <w:spacing w:after="0"/>
            </w:pPr>
            <w:r>
              <w:rPr>
                <w:b w:val="false"/>
                <w:bCs w:val="false"/>
                <w:sz w:val="19"/>
                <w:szCs w:val="19"/>
              </w:rPr>
              <w:t xml:space="preserve">Client proving time (desktop)</w:t>
            </w:r>
          </w:p>
        </w:tc>
        <w:tc>
          <w:tcPr>
            <w:tcW w:type="auto" w:w="1"/>
            <w:tcMar>
              <w:top w:type="dxa" w:w="80"/>
              <w:left w:type="dxa" w:w="100"/>
              <w:bottom w:type="dxa" w:w="80"/>
              <w:right w:type="dxa" w:w="100"/>
            </w:tcMar>
          </w:tcPr>
          <w:p>
            <w:pPr>
              <w:spacing w:after="0"/>
            </w:pPr>
            <w:r>
              <w:rPr>
                <w:b w:val="false"/>
                <w:bCs w:val="false"/>
                <w:sz w:val="19"/>
                <w:szCs w:val="19"/>
              </w:rPr>
              <w:t xml:space="preserve">500</w:t>
            </w:r>
          </w:p>
        </w:tc>
        <w:tc>
          <w:tcPr>
            <w:tcW w:type="auto" w:w="1"/>
            <w:tcMar>
              <w:top w:type="dxa" w:w="80"/>
              <w:left w:type="dxa" w:w="100"/>
              <w:bottom w:type="dxa" w:w="80"/>
              <w:right w:type="dxa" w:w="100"/>
            </w:tcMar>
          </w:tcPr>
          <w:p>
            <w:pPr>
              <w:spacing w:after="0"/>
            </w:pPr>
            <w:r>
              <w:rPr>
                <w:b w:val="false"/>
                <w:bCs w:val="false"/>
                <w:sz w:val="19"/>
                <w:szCs w:val="19"/>
              </w:rPr>
              <w:t xml:space="preserve">mean 1.37s (sigma 0.12s)</w:t>
            </w:r>
          </w:p>
        </w:tc>
        <w:tc>
          <w:tcPr>
            <w:tcW w:type="auto" w:w="1"/>
            <w:tcMar>
              <w:top w:type="dxa" w:w="80"/>
              <w:left w:type="dxa" w:w="100"/>
              <w:bottom w:type="dxa" w:w="80"/>
              <w:right w:type="dxa" w:w="100"/>
            </w:tcMar>
          </w:tcPr>
          <w:p>
            <w:pPr>
              <w:spacing w:after="0"/>
            </w:pPr>
            <w:r>
              <w:rPr>
                <w:b w:val="false"/>
                <w:bCs w:val="false"/>
                <w:sz w:val="19"/>
                <w:szCs w:val="19"/>
              </w:rPr>
              <w:t xml:space="preserve">Automated Puppeteer / Node.js benchmark runner (patent_benchmarks.js), sequential proving runs on Apple M2.</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Client proving time (mobile)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100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mean 2.14s (sigma 0.28s)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On-device Chrome Mobile runs on Google Pixel 7 (Tensor G2).</w:t>
            </w:r>
          </w:p>
        </w:tc>
      </w:tr>
      <w:tr>
        <w:tc>
          <w:tcPr>
            <w:tcW w:type="auto" w:w="1"/>
            <w:tcMar>
              <w:top w:type="dxa" w:w="80"/>
              <w:left w:type="dxa" w:w="100"/>
              <w:bottom w:type="dxa" w:w="80"/>
              <w:right w:type="dxa" w:w="100"/>
            </w:tcMar>
          </w:tcPr>
          <w:p>
            <w:pPr>
              <w:spacing w:after="0"/>
            </w:pPr>
            <w:r>
              <w:rPr>
                <w:b w:val="false"/>
                <w:bCs w:val="false"/>
                <w:sz w:val="19"/>
                <w:szCs w:val="19"/>
              </w:rPr>
              <w:t xml:space="preserve">On-chain revocation latency</w:t>
            </w:r>
          </w:p>
        </w:tc>
        <w:tc>
          <w:tcPr>
            <w:tcW w:type="auto" w:w="1"/>
            <w:tcMar>
              <w:top w:type="dxa" w:w="80"/>
              <w:left w:type="dxa" w:w="100"/>
              <w:bottom w:type="dxa" w:w="80"/>
              <w:right w:type="dxa" w:w="100"/>
            </w:tcMar>
          </w:tcPr>
          <w:p>
            <w:pPr>
              <w:spacing w:after="0"/>
            </w:pPr>
            <w:r>
              <w:rPr>
                <w:b w:val="false"/>
                <w:bCs w:val="false"/>
                <w:sz w:val="19"/>
                <w:szCs w:val="19"/>
              </w:rPr>
              <w:t xml:space="preserve">100</w:t>
            </w:r>
          </w:p>
        </w:tc>
        <w:tc>
          <w:tcPr>
            <w:tcW w:type="auto" w:w="1"/>
            <w:tcMar>
              <w:top w:type="dxa" w:w="80"/>
              <w:left w:type="dxa" w:w="100"/>
              <w:bottom w:type="dxa" w:w="80"/>
              <w:right w:type="dxa" w:w="100"/>
            </w:tcMar>
          </w:tcPr>
          <w:p>
            <w:pPr>
              <w:spacing w:after="0"/>
            </w:pPr>
            <w:r>
              <w:rPr>
                <w:b w:val="false"/>
                <w:bCs w:val="false"/>
                <w:sz w:val="19"/>
                <w:szCs w:val="19"/>
              </w:rPr>
              <w:t xml:space="preserve">mean 3.80s (sigma 0.31s)</w:t>
            </w:r>
          </w:p>
        </w:tc>
        <w:tc>
          <w:tcPr>
            <w:tcW w:type="auto" w:w="1"/>
            <w:tcMar>
              <w:top w:type="dxa" w:w="80"/>
              <w:left w:type="dxa" w:w="100"/>
              <w:bottom w:type="dxa" w:w="80"/>
              <w:right w:type="dxa" w:w="100"/>
            </w:tcMar>
          </w:tcPr>
          <w:p>
            <w:pPr>
              <w:spacing w:after="0"/>
            </w:pPr>
            <w:r>
              <w:rPr>
                <w:b w:val="false"/>
                <w:bCs w:val="false"/>
                <w:sz w:val="19"/>
                <w:szCs w:val="19"/>
              </w:rPr>
              <w:t xml:space="preserve">Timed from transaction submission (sendRawTransaction) to block confirmation (waitForConfirmation) on Algorand TestNet.</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Tampered-XML rejection rate</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1,000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100% rejected, 0 false accepts</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Automated single-bit/byte mutations injected into dob, uid, and XML-DSig signature blocks; all caught by RSA-2048 PKCS#1 v1.5 verification.</w:t>
            </w:r>
          </w:p>
        </w:tc>
      </w:tr>
      <w:tr>
        <w:tc>
          <w:tcPr>
            <w:tcW w:type="auto" w:w="1"/>
            <w:tcMar>
              <w:top w:type="dxa" w:w="80"/>
              <w:left w:type="dxa" w:w="100"/>
              <w:bottom w:type="dxa" w:w="80"/>
              <w:right w:type="dxa" w:w="100"/>
            </w:tcMar>
          </w:tcPr>
          <w:p>
            <w:pPr>
              <w:spacing w:after="0"/>
            </w:pPr>
            <w:r>
              <w:rPr>
                <w:b w:val="false"/>
                <w:bCs w:val="false"/>
                <w:sz w:val="19"/>
                <w:szCs w:val="19"/>
              </w:rPr>
              <w:t xml:space="preserve">Nullifier cross-site unlinkability</w:t>
            </w:r>
          </w:p>
        </w:tc>
        <w:tc>
          <w:tcPr>
            <w:tcW w:type="auto" w:w="1"/>
            <w:tcMar>
              <w:top w:type="dxa" w:w="80"/>
              <w:left w:type="dxa" w:w="100"/>
              <w:bottom w:type="dxa" w:w="80"/>
              <w:right w:type="dxa" w:w="100"/>
            </w:tcMar>
          </w:tcPr>
          <w:p>
            <w:pPr>
              <w:spacing w:after="0"/>
            </w:pPr>
            <w:r>
              <w:rPr>
                <w:b w:val="false"/>
                <w:bCs w:val="false"/>
                <w:sz w:val="19"/>
                <w:szCs w:val="19"/>
              </w:rPr>
              <w:t xml:space="preserve">500 pairs</w:t>
            </w:r>
          </w:p>
        </w:tc>
        <w:tc>
          <w:tcPr>
            <w:tcW w:type="auto" w:w="1"/>
            <w:tcMar>
              <w:top w:type="dxa" w:w="80"/>
              <w:left w:type="dxa" w:w="100"/>
              <w:bottom w:type="dxa" w:w="80"/>
              <w:right w:type="dxa" w:w="100"/>
            </w:tcMar>
          </w:tcPr>
          <w:p>
            <w:pPr>
              <w:spacing w:after="0"/>
            </w:pPr>
            <w:r>
              <w:rPr>
                <w:b w:val="false"/>
                <w:bCs w:val="false"/>
                <w:sz w:val="19"/>
                <w:szCs w:val="19"/>
              </w:rPr>
              <w:t xml:space="preserve">Pearson r &lt; 0.001</w:t>
            </w:r>
          </w:p>
        </w:tc>
        <w:tc>
          <w:tcPr>
            <w:tcW w:type="auto" w:w="1"/>
            <w:tcMar>
              <w:top w:type="dxa" w:w="80"/>
              <w:left w:type="dxa" w:w="100"/>
              <w:bottom w:type="dxa" w:w="80"/>
              <w:right w:type="dxa" w:w="100"/>
            </w:tcMar>
          </w:tcPr>
          <w:p>
            <w:pPr>
              <w:spacing w:after="0"/>
            </w:pPr>
            <w:r>
              <w:rPr>
                <w:b w:val="false"/>
                <w:bCs w:val="false"/>
                <w:sz w:val="19"/>
                <w:szCs w:val="19"/>
              </w:rPr>
              <w:t xml:space="preserve">Same identity, distinct RelyingParty_ID and random blinding factors (r, s in F_r); pairwise correlation measured across proof pairs.</w:t>
            </w:r>
          </w:p>
        </w:tc>
      </w:tr>
      <w:tr>
        <w:tc>
          <w:tcPr>
            <w:tcW w:type="auto" w:w="1"/>
            <w:shd w:fill="F2F2F2" w:val="clear"/>
            <w:tcMar>
              <w:top w:type="dxa" w:w="80"/>
              <w:left w:type="dxa" w:w="100"/>
              <w:bottom w:type="dxa" w:w="80"/>
              <w:right w:type="dxa" w:w="100"/>
            </w:tcMar>
          </w:tcPr>
          <w:p>
            <w:pPr>
              <w:spacing w:after="0"/>
            </w:pPr>
            <w:r>
              <w:rPr>
                <w:b w:val="false"/>
                <w:bCs w:val="false"/>
                <w:sz w:val="19"/>
                <w:szCs w:val="19"/>
              </w:rPr>
              <w:t xml:space="preserve">AVM pairing execution</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50</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&lt;4 ms opcode budget</w:t>
            </w:r>
          </w:p>
        </w:tc>
        <w:tc>
          <w:tcPr>
            <w:tcW w:type="auto" w:w="1"/>
            <w:shd w:fill="F2F2F2" w:val="clear"/>
            <w:tcMar>
              <w:top w:type="dxa" w:w="80"/>
              <w:left w:type="dxa" w:w="100"/>
              <w:bottom w:type="dxa" w:w="80"/>
              <w:right w:type="dxa" w:w="100"/>
            </w:tcMar>
          </w:tcPr>
          <w:p>
            <w:pPr>
              <w:spacing w:after="0"/>
            </w:pPr>
            <w:r>
              <w:rPr>
                <w:b w:val="false"/>
                <w:bCs w:val="false"/>
                <w:sz w:val="19"/>
                <w:szCs w:val="19"/>
              </w:rPr>
              <w:t xml:space="preserve">AVM cost evaluator for the bn254_pairing precompile within the single-transaction opcode budget.</w:t>
            </w:r>
          </w:p>
        </w:tc>
      </w:tr>
    </w:tbl>
    <w:p>
      <w:pPr>
        <w:spacing w:after="200" w:before="80"/>
      </w:pPr>
      <w:r>
        <w:rPr>
          <w:i/>
          <w:iCs/>
          <w:color w:val="595959"/>
          <w:sz w:val="20"/>
          <w:szCs w:val="20"/>
        </w:rPr>
        <w:t xml:space="preserve">Testing window: benchmarks were collected across multiple validation passes during 2026 development. sigma denotes sample standard deviation. These figures describe performance on the hardware and network listed above and are not a claim of performance under all conditions (e.g., lower-end Android devices, congested TestNet/MainNet periods).</w:t>
      </w:r>
    </w:p>
    <w:p>
      <w:pPr>
        <w:pStyle w:val="Heading2"/>
        <w:spacing w:after="120" w:before="240"/>
      </w:pPr>
      <w:r>
        <w:t xml:space="preserve">12.3 Smart Contract Deployment Status</w:t>
      </w:r>
    </w:p>
    <w:p>
      <w:pPr>
        <w:spacing w:after="160" w:line="276"/>
        <w:jc w:val="both"/>
      </w:pPr>
      <w:r>
        <w:t xml:space="preserve">The two AVM applications referenced throughout this report are deployed and live on Algorand TestNet (not MainNet):</w:t>
      </w:r>
    </w:p>
    <w:p>
      <w:pPr>
        <w:pStyle w:val="ListParagraph"/>
        <w:numPr>
          <w:ilvl w:val="0"/>
          <w:numId w:val="1"/>
        </w:numPr>
        <w:spacing w:after="100" w:line="276"/>
      </w:pPr>
      <w:r>
        <w:t xml:space="preserve">App ID 761383580 - Groth16/BN254 proof verifier smart contract. TestNet explorer: https://lora.algokit.io/testnet/application/761383580</w:t>
      </w:r>
    </w:p>
    <w:p>
      <w:pPr>
        <w:pStyle w:val="ListParagraph"/>
        <w:numPr>
          <w:ilvl w:val="0"/>
          <w:numId w:val="1"/>
        </w:numPr>
        <w:spacing w:after="100" w:line="276"/>
      </w:pPr>
      <w:r>
        <w:t xml:space="preserve">App ID 761383581 - Revocation registry using AVM Box Storage. TestNet explorer: https://lora.algokit.io/testnet/application/761383581</w:t>
      </w:r>
    </w:p>
    <w:p>
      <w:pPr>
        <w:spacing w:after="200" w:before="80"/>
      </w:pPr>
      <w:r>
        <w:rPr>
          <w:i/>
          <w:iCs/>
          <w:color w:val="595959"/>
          <w:sz w:val="20"/>
          <w:szCs w:val="20"/>
        </w:rPr>
        <w:t xml:space="preserve">The system has been validated on TestNet only. Any statement in this report or in a filed specification should be careful to describe this as a TestNet deployment / proof-of-concept and not represent it as a production MainNet deployment unless and until that step has actually been taken.</w:t>
      </w:r>
    </w:p>
    <w:p>
      <w:pPr>
        <w:pStyle w:val="Heading2"/>
        <w:spacing w:after="120" w:before="240"/>
      </w:pPr>
      <w:r>
        <w:t xml:space="preserve">12.4 Security &amp; Adversarial Testing</w:t>
      </w:r>
    </w:p>
    <w:p>
      <w:pPr>
        <w:pStyle w:val="ListParagraph"/>
        <w:numPr>
          <w:ilvl w:val="0"/>
          <w:numId w:val="1"/>
        </w:numPr>
        <w:spacing w:after="100" w:line="276"/>
      </w:pPr>
      <w:r>
        <w:t xml:space="preserve">Tampered XML Injection: injecting forged birth-year values into the XML caused RSA-2048 signature verification to fail in all 1,000 trials, terminating execution before witness generation.</w:t>
      </w:r>
    </w:p>
    <w:p>
      <w:pPr>
        <w:pStyle w:val="ListParagraph"/>
        <w:numPr>
          <w:ilvl w:val="0"/>
          <w:numId w:val="1"/>
        </w:numPr>
        <w:spacing w:after="100" w:line="276"/>
      </w:pPr>
      <w:r>
        <w:t xml:space="preserve">Proof Forwarding / Sybil Attempt: presenting a captured 128-byte proof on a secondary device was rejected in testing due to a missing or invalid ECDSA-P256 hardware-enclave signature for that device. This demonstrates resistance to the specific forwarding technique tested (copying the proof bundle to a second device); it does not test resistance to a compromised or rooted copy of the originating device itself.</w:t>
      </w:r>
    </w:p>
    <w:p>
      <w:pPr>
        <w:pStyle w:val="ListParagraph"/>
        <w:numPr>
          <w:ilvl w:val="0"/>
          <w:numId w:val="1"/>
        </w:numPr>
        <w:spacing w:after="100" w:line="276"/>
      </w:pPr>
      <w:r>
        <w:t xml:space="preserve">On-Chain Revocation Propagation: once a revocation transaction was confirmed in block N, verifier queries in block N+1 correctly rejected the credential within the measured 3.80-second window across the trials conducted.</w:t>
      </w:r>
    </w:p>
    <w:p>
      <w:pPr>
        <w:pStyle w:val="ListParagraph"/>
        <w:numPr>
          <w:ilvl w:val="0"/>
          <w:numId w:val="1"/>
        </w:numPr>
        <w:spacing w:after="100" w:line="276"/>
      </w:pPr>
      <w:r>
        <w:t xml:space="preserve">Cross-Site Unlinkability: each proof generation produces statistically independent blinding factors, yielding near-zero measured correlation (Pearson r &lt; 0.001) between proofs presented to different verifiers.</w:t>
      </w:r>
    </w:p>
    <w:p>
      <w:pPr>
        <w:pStyle w:val="Heading1"/>
        <w:spacing w:after="160" w:before="320"/>
      </w:pPr>
      <w:r>
        <w:t xml:space="preserve">13. Findings and Analysis</w:t>
      </w:r>
    </w:p>
    <w:p>
      <w:pPr>
        <w:pStyle w:val="Heading2"/>
        <w:spacing w:after="120" w:before="240"/>
      </w:pPr>
      <w:r>
        <w:t xml:space="preserve">13.1 Regulatory Position</w:t>
      </w:r>
    </w:p>
    <w:p>
      <w:pPr>
        <w:spacing w:after="160" w:line="276"/>
        <w:jc w:val="both"/>
      </w:pPr>
      <w:r>
        <w:t xml:space="preserve">Because ZERO-ID's verifier is designed to avoid persisting customer PII, relying parties using it in the intended configuration would be expected to face substantially reduced exposure under DPDP Act Section 33 relative to organizations that store full identity documents, and would be better positioned with respect to the Supreme Court's Puttaswamy privacy standard. This is a design intention and a regulatory argument, not itself a legal compliance certification - a compliance assessment for any specific deployment should be reviewed by qualified counsel.</w:t>
      </w:r>
    </w:p>
    <w:p>
      <w:pPr>
        <w:pStyle w:val="Heading2"/>
        <w:spacing w:after="120" w:before="240"/>
      </w:pPr>
      <w:r>
        <w:t xml:space="preserve">13.2 Economic Feasibility</w:t>
      </w:r>
    </w:p>
    <w:p>
      <w:pPr>
        <w:spacing w:after="160" w:line="276"/>
        <w:jc w:val="both"/>
      </w:pPr>
      <w:r>
        <w:t xml:space="preserve">Algorand's fixed transaction fee ($0.001 per verification/revocation, at time of writing) is materially lower than commercial API-based KYC aggregators charging on the order of INR 15-50 per KYC call, though a full cost comparison would need to include prover infrastructure, credential issuance, and support costs on both sides. The Box Storage minimum balance requirement of approximately 0.0157 ALGO (~$0.003) per credential suggests the on-chain state cost scales reasonably even at large user counts, though this projection has not been validated at national scale.</w:t>
      </w:r>
    </w:p>
    <w:p>
      <w:pPr>
        <w:pStyle w:val="Heading1"/>
        <w:spacing w:after="160" w:before="320"/>
      </w:pPr>
      <w:r>
        <w:t xml:space="preserve">14. Limitations</w:t>
      </w:r>
    </w:p>
    <w:p>
      <w:pPr>
        <w:pStyle w:val="ListParagraph"/>
        <w:numPr>
          <w:ilvl w:val="0"/>
          <w:numId w:val="1"/>
        </w:numPr>
        <w:spacing w:after="100" w:line="276"/>
      </w:pPr>
      <w:r>
        <w:t xml:space="preserve">Hardware Dependency: the hardware-binding mechanism requires devices with W3C WebAuthn support and a hardware security enclave (Secure Enclave, Titan M2, TPM 2.0). Devices lacking a biometric enclave cannot use hardware-bound passkeys.</w:t>
      </w:r>
    </w:p>
    <w:p>
      <w:pPr>
        <w:pStyle w:val="ListParagraph"/>
        <w:numPr>
          <w:ilvl w:val="0"/>
          <w:numId w:val="1"/>
        </w:numPr>
        <w:spacing w:after="100" w:line="276"/>
      </w:pPr>
      <w:r>
        <w:t xml:space="preserve">Prover Computation: generating Groth16 proofs in browser WASM took a measured 1.37s (desktop) to 2.14s (mobile) of wall-clock time and roughly 40-48 MB RAM in testing (Section 12); this may cause brief UI delay on lower-end devices not covered by the test set.</w:t>
      </w:r>
    </w:p>
    <w:p>
      <w:pPr>
        <w:pStyle w:val="ListParagraph"/>
        <w:numPr>
          <w:ilvl w:val="0"/>
          <w:numId w:val="1"/>
        </w:numPr>
        <w:spacing w:after="100" w:line="276"/>
      </w:pPr>
      <w:r>
        <w:t xml:space="preserve">Trusted Setup: Groth16 requires a trusted setup ceremony. ZERO-ID uses the Hermez/Ethereum Foundation Perpetual Powers of Tau ceremony (over 1,000 participants), which is secure under a 1-of-N honest participant assumption rather than an unconditional guarantee.</w:t>
      </w:r>
    </w:p>
    <w:p>
      <w:pPr>
        <w:pStyle w:val="ListParagraph"/>
        <w:numPr>
          <w:ilvl w:val="0"/>
          <w:numId w:val="1"/>
        </w:numPr>
        <w:spacing w:after="100" w:line="276"/>
      </w:pPr>
      <w:r>
        <w:t xml:space="preserve">Issuer Signature Trust: RSA-2048 signature verification is performed in client-side JavaScript before witness injection, rather than inside the ZK circuit itself. Full in-circuit RSA verification would require roughly 1.2M constraints and is left as future work (Section 15).</w:t>
      </w:r>
    </w:p>
    <w:p>
      <w:pPr>
        <w:pStyle w:val="ListParagraph"/>
        <w:numPr>
          <w:ilvl w:val="0"/>
          <w:numId w:val="1"/>
        </w:numPr>
        <w:spacing w:after="100" w:line="276"/>
      </w:pPr>
      <w:r>
        <w:t xml:space="preserve">Scope of Device-Binding Guarantee: the hardware-enclave signature demonstrates that the proof was authorized by a specific enrolled device at presentation time; it does not independently defend against a compromised operating system, malware with access to the WebAuthn flow, or coercion of the device owner. This should be stated explicitly in any patent specification claiming this as a security property, to avoid an examiner or a court later finding the claim overbroad.</w:t>
      </w:r>
    </w:p>
    <w:p>
      <w:pPr>
        <w:pStyle w:val="ListParagraph"/>
        <w:numPr>
          <w:ilvl w:val="0"/>
          <w:numId w:val="1"/>
        </w:numPr>
        <w:spacing w:after="100" w:line="276"/>
      </w:pPr>
      <w:r>
        <w:t xml:space="preserve">TestNet-Only Validation: all measured results in Section 12 were collected on Algorand TestNet, not MainNet. MainNet network conditions (congestion, fee-market behavior) may differ.</w:t>
      </w:r>
    </w:p>
    <w:p>
      <w:pPr>
        <w:pStyle w:val="Heading1"/>
        <w:spacing w:after="160" w:before="320"/>
      </w:pPr>
      <w:r>
        <w:t xml:space="preserve">15. Future Scope</w:t>
      </w:r>
    </w:p>
    <w:p>
      <w:pPr>
        <w:pStyle w:val="ListParagraph"/>
        <w:numPr>
          <w:ilvl w:val="0"/>
          <w:numId w:val="1"/>
        </w:numPr>
        <w:spacing w:after="100" w:line="276"/>
      </w:pPr>
      <w:r>
        <w:t xml:space="preserve">In-Circuit RSA Verification: implementing recursive folding-scheme SNARKs (Nova/SuperNova) to verify RSA-2048 signatures directly inside Circom circuits on mobile hardware.</w:t>
      </w:r>
    </w:p>
    <w:p>
      <w:pPr>
        <w:pStyle w:val="ListParagraph"/>
        <w:numPr>
          <w:ilvl w:val="0"/>
          <w:numId w:val="1"/>
        </w:numPr>
        <w:spacing w:after="100" w:line="276"/>
      </w:pPr>
      <w:r>
        <w:t xml:space="preserve">Multi-Jurisdictional Connectors: expanding ingestion to EU eIDAS 2.0 wallets, US Mobile Driver's Licenses (ISO 18013-5), Singapore Singpass, and UAE ID envelopes.</w:t>
      </w:r>
    </w:p>
    <w:p>
      <w:pPr>
        <w:pStyle w:val="ListParagraph"/>
        <w:numPr>
          <w:ilvl w:val="0"/>
          <w:numId w:val="1"/>
        </w:numPr>
        <w:spacing w:after="100" w:line="276"/>
      </w:pPr>
      <w:r>
        <w:t xml:space="preserve">Threshold Social Recovery: MPC threshold passkey recovery protocols allowing credential restoration via trusted guardian enclaves.</w:t>
      </w:r>
    </w:p>
    <w:p>
      <w:pPr>
        <w:pStyle w:val="ListParagraph"/>
        <w:numPr>
          <w:ilvl w:val="0"/>
          <w:numId w:val="1"/>
        </w:numPr>
        <w:spacing w:after="100" w:line="276"/>
      </w:pPr>
      <w:r>
        <w:t xml:space="preserve">Cross-Chain Bridges: trustless cryptographic state relayers between Algorand Box Storage and EVM/Solana networks for unified multichain verification.</w:t>
      </w:r>
    </w:p>
    <w:p>
      <w:pPr>
        <w:pStyle w:val="ListParagraph"/>
        <w:numPr>
          <w:ilvl w:val="0"/>
          <w:numId w:val="1"/>
        </w:numPr>
        <w:spacing w:after="100" w:line="276"/>
      </w:pPr>
      <w:r>
        <w:t xml:space="preserve">MainNet Deployment &amp; Independent Audit: moving from the current TestNet proof-of-concept to an audited MainNet deployment, including a third-party security audit of the Circom circuits and TEAL/PyTeal contracts.</w:t>
      </w:r>
    </w:p>
    <w:p>
      <w:pPr>
        <w:pStyle w:val="Heading1"/>
        <w:spacing w:after="160" w:before="320"/>
      </w:pPr>
      <w:r>
        <w:t xml:space="preserve">16. Conclusion</w:t>
      </w:r>
    </w:p>
    <w:p>
      <w:pPr>
        <w:spacing w:after="160" w:line="276"/>
        <w:jc w:val="both"/>
      </w:pPr>
      <w:r>
        <w:t xml:space="preserve">ZERO-ID is a working, TestNet-validated architecture for privacy-preserving digital identity verification. By combining client-side Groth16 zero-knowledge proofs, hardware-enclave biometric attestation via FIDO2/WebAuthn, and constant-time Algorand Layer-1 Box Storage revocation, the system offers an alternative to the centralized-PII-storage model common in digital identity infrastructure today.</w:t>
      </w:r>
    </w:p>
    <w:p>
      <w:pPr>
        <w:spacing w:after="160" w:line="276"/>
        <w:jc w:val="both"/>
      </w:pPr>
      <w:r>
        <w:t xml:space="preserve">The project's measured technical effects - O(1) revocation lookup (versus O(log N)), a 3.80-second measured revocation propagation on TestNet, a 128-byte proof payload, and a verifier architecture designed not to require persistent PII storage - form the basis of the patentability argument under Section 3(k) of the Indian Patents Act 1970 and the Ferid Allani v. Union of India (2019) precedent, subject to review by a registered patent agent.</w:t>
      </w:r>
    </w:p>
    <w:p>
      <w:pPr>
        <w:spacing w:after="160" w:line="276"/>
        <w:jc w:val="both"/>
      </w:pPr>
      <w:r>
        <w:t xml:space="preserve">Novelty Position: based on the inventors' review, no system examined combines hardware-enclave parameter hash-chaining of Groth16 proof points with constant-time O(1) flat key-value blockchain revocation in the manner described in Section 3.2. This is presented as a candidate novelty position pending a formal professional prior-art search.</w:t>
      </w:r>
    </w:p>
    <w:p>
      <w:pPr>
        <w:pStyle w:val="Heading1"/>
        <w:spacing w:after="160" w:before="320"/>
      </w:pPr>
      <w:r>
        <w:t xml:space="preserve">17. Catalog of Original Components</w:t>
      </w:r>
    </w:p>
    <w:p>
      <w:pPr>
        <w:spacing w:after="60" w:before="160"/>
      </w:pPr>
      <w:r>
        <w:rPr>
          <w:b/>
          <w:bCs/>
        </w:rPr>
        <w:t xml:space="preserve">Original Research &amp; Conceptual Development</w:t>
      </w:r>
    </w:p>
    <w:p>
      <w:pPr>
        <w:pStyle w:val="ListParagraph"/>
        <w:numPr>
          <w:ilvl w:val="0"/>
          <w:numId w:val="1"/>
        </w:numPr>
        <w:spacing w:after="100" w:line="276"/>
      </w:pPr>
      <w:r>
        <w:t xml:space="preserve">Formulation of the hardware-enclave parameter hash-chaining protocol addressing proof-forwarding risk.</w:t>
      </w:r>
    </w:p>
    <w:p>
      <w:pPr>
        <w:pStyle w:val="ListParagraph"/>
        <w:numPr>
          <w:ilvl w:val="0"/>
          <w:numId w:val="1"/>
        </w:numPr>
        <w:spacing w:after="100" w:line="276"/>
      </w:pPr>
      <w:r>
        <w:t xml:space="preserve">Design of the constant-time O(1) Box Storage revocation architecture.</w:t>
      </w:r>
    </w:p>
    <w:p>
      <w:pPr>
        <w:pStyle w:val="ListParagraph"/>
        <w:numPr>
          <w:ilvl w:val="0"/>
          <w:numId w:val="1"/>
        </w:numPr>
        <w:spacing w:after="100" w:line="276"/>
      </w:pPr>
      <w:r>
        <w:t xml:space="preserve">Prior-art differentiation review against Anon Aadhaar, Polygon ID, Worldcoin, FIDO-AC, and TIP Protocol.</w:t>
      </w:r>
    </w:p>
    <w:p>
      <w:pPr>
        <w:spacing w:after="60" w:before="160"/>
      </w:pPr>
      <w:r>
        <w:rPr>
          <w:b/>
          <w:bCs/>
        </w:rPr>
        <w:t xml:space="preserve">Cryptographic Circuits &amp; Algorithms</w:t>
      </w:r>
    </w:p>
    <w:p>
      <w:pPr>
        <w:pStyle w:val="ListParagraph"/>
        <w:numPr>
          <w:ilvl w:val="0"/>
          <w:numId w:val="1"/>
        </w:numPr>
        <w:spacing w:after="100" w:line="276"/>
      </w:pPr>
      <w:r>
        <w:t xml:space="preserve">Circom 2.1.0 age validation circuit (age_proof.circom) with 7-bit Num2Bits range constraints.</w:t>
      </w:r>
    </w:p>
    <w:p>
      <w:pPr>
        <w:pStyle w:val="ListParagraph"/>
        <w:numPr>
          <w:ilvl w:val="0"/>
          <w:numId w:val="1"/>
        </w:numPr>
        <w:spacing w:after="100" w:line="276"/>
      </w:pPr>
      <w:r>
        <w:t xml:space="preserve">Poseidon hash nullifier generation protocol with scoped relying-party unlinkability.</w:t>
      </w:r>
    </w:p>
    <w:p>
      <w:pPr>
        <w:pStyle w:val="ListParagraph"/>
        <w:numPr>
          <w:ilvl w:val="0"/>
          <w:numId w:val="1"/>
        </w:numPr>
        <w:spacing w:after="100" w:line="276"/>
      </w:pPr>
      <w:r>
        <w:t xml:space="preserve">SHA-256 hardware challenge construction chaining Groth16 proof points to FIDO2 assertions.</w:t>
      </w:r>
    </w:p>
    <w:p>
      <w:pPr>
        <w:spacing w:after="60" w:before="160"/>
      </w:pPr>
      <w:r>
        <w:rPr>
          <w:b/>
          <w:bCs/>
        </w:rPr>
        <w:t xml:space="preserve">Software &amp; Source Code</w:t>
      </w:r>
    </w:p>
    <w:p>
      <w:pPr>
        <w:pStyle w:val="ListParagraph"/>
        <w:numPr>
          <w:ilvl w:val="0"/>
          <w:numId w:val="1"/>
        </w:numPr>
        <w:spacing w:after="100" w:line="276"/>
      </w:pPr>
      <w:r>
        <w:t xml:space="preserve">Client-side WebAssembly proving pipeline (snarkjs) executing in edge browser runtimes.</w:t>
      </w:r>
    </w:p>
    <w:p>
      <w:pPr>
        <w:pStyle w:val="ListParagraph"/>
        <w:numPr>
          <w:ilvl w:val="0"/>
          <w:numId w:val="1"/>
        </w:numPr>
        <w:spacing w:after="100" w:line="276"/>
      </w:pPr>
      <w:r>
        <w:t xml:space="preserve">WebAuthn / FIDO2 biometric hardware-binding service (webauthnService.js).</w:t>
      </w:r>
    </w:p>
    <w:p>
      <w:pPr>
        <w:pStyle w:val="ListParagraph"/>
        <w:numPr>
          <w:ilvl w:val="0"/>
          <w:numId w:val="1"/>
        </w:numPr>
        <w:spacing w:after="100" w:line="276"/>
      </w:pPr>
      <w:r>
        <w:t xml:space="preserve">Algorand AVM 10+ smart contracts: bn254_pairing verifier (TestNet App 761383580) and Box Storage revocation index (TestNet App 761383581).</w:t>
      </w:r>
    </w:p>
    <w:p>
      <w:pPr>
        <w:pStyle w:val="ListParagraph"/>
        <w:numPr>
          <w:ilvl w:val="0"/>
          <w:numId w:val="1"/>
        </w:numPr>
        <w:spacing w:after="100" w:line="276"/>
      </w:pPr>
      <w:r>
        <w:t xml:space="preserve">Full-stack application (React 18 / Vite / Node.js / Express).</w:t>
      </w:r>
    </w:p>
    <w:p>
      <w:pPr>
        <w:spacing w:after="60" w:before="160"/>
      </w:pPr>
      <w:r>
        <w:rPr>
          <w:b/>
          <w:bCs/>
        </w:rPr>
        <w:t xml:space="preserve">Empirical Benchmarks &amp; Analysis</w:t>
      </w:r>
    </w:p>
    <w:p>
      <w:pPr>
        <w:pStyle w:val="ListParagraph"/>
        <w:numPr>
          <w:ilvl w:val="0"/>
          <w:numId w:val="1"/>
        </w:numPr>
        <w:spacing w:after="100" w:line="276"/>
      </w:pPr>
      <w:r>
        <w:t xml:space="preserve">Automated benchmarking suite (patent_benchmarks.js) measuring revocation latency, proof size, and proving time.</w:t>
      </w:r>
    </w:p>
    <w:p>
      <w:pPr>
        <w:pStyle w:val="ListParagraph"/>
        <w:numPr>
          <w:ilvl w:val="0"/>
          <w:numId w:val="1"/>
        </w:numPr>
        <w:spacing w:after="100" w:line="276"/>
      </w:pPr>
      <w:r>
        <w:t xml:space="preserve">Regulatory-position analysis with reference to the DPDP Act 2023, RBI Master Direction, and the Puttaswamy judgment.</w:t>
      </w:r>
    </w:p>
    <w:p>
      <w:pPr>
        <w:pStyle w:val="ListParagraph"/>
        <w:numPr>
          <w:ilvl w:val="0"/>
          <w:numId w:val="1"/>
        </w:numPr>
        <w:spacing w:after="100" w:line="276"/>
      </w:pPr>
      <w:r>
        <w:t xml:space="preserve">Section 3(k) / Ferid Allani patentability position with supporting measured data.</w:t>
      </w:r>
    </w:p>
    <w:p>
      <w:r>
        <w:br w:type="page"/>
      </w:r>
    </w:p>
    <w:p>
      <w:pPr>
        <w:pStyle w:val="Heading1"/>
        <w:spacing w:after="160" w:before="320"/>
      </w:pPr>
      <w:r>
        <w:t xml:space="preserve">18. Appendix: Draft Patent Claims (For Patent Agent Review)</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DCE6F1" w:val="clear"/>
            <w:tcMar>
              <w:top w:type="dxa" w:w="150"/>
              <w:left w:type="dxa" w:w="150"/>
              <w:bottom w:type="dxa" w:w="150"/>
              <w:right w:type="dxa" w:w="150"/>
            </w:tcMar>
          </w:tcPr>
          <w:p>
            <w:pPr>
              <w:spacing w:after="0"/>
            </w:pPr>
            <w:r>
              <w:rPr>
                <w:b/>
                <w:bCs/>
              </w:rPr>
              <w:t xml:space="preserve">These are DRAFT claims prepared by the inventors to communicate the scope of the invention to a registered patent agent. They are not in final form for filing. A registered patent agent should review claim breadth, dependency structure, and support in the specification before these are submitted as part of a Form 2 complete specification.</w:t>
            </w:r>
          </w:p>
        </w:tc>
      </w:tr>
    </w:tbl>
    <w:p>
      <w:pPr>
        <w:spacing w:after="160" w:line="276"/>
        <w:jc w:val="both"/>
      </w:pPr>
      <w:r>
        <w:t xml:space="preserve">The following draft claims are organized so the two principal inventive steps identified in Section 3.2 - hardware-enclave hash-chained proof binding, and constant-time O(1) decentralized revocation - each anchor their own independent claim, rather than one being relegated to a dependent claim.</w:t>
      </w:r>
    </w:p>
    <w:p>
      <w:pPr>
        <w:spacing w:after="160" w:before="160"/>
      </w:pPr>
      <w:r>
        <w:rPr>
          <w:b/>
          <w:bCs/>
        </w:rPr>
        <w:t xml:space="preserve">WE CLAIM:</w:t>
      </w:r>
    </w:p>
    <w:p>
      <w:pPr>
        <w:spacing w:after="100" w:before="220"/>
      </w:pPr>
      <w:r>
        <w:rPr>
          <w:b/>
          <w:bCs/>
        </w:rPr>
        <w:t xml:space="preserve">[Claim 1] Independent Method Claim - Hardware-Bound Proof Generation and Presentation:</w:t>
      </w:r>
    </w:p>
    <w:p>
      <w:pPr>
        <w:spacing w:after="160" w:line="276"/>
        <w:jc w:val="both"/>
      </w:pPr>
      <w:r>
        <w:t xml:space="preserve">A computer-implemented method for privacy-preserving, hardware-bound digital identity verification, the method comprising:</w:t>
      </w:r>
    </w:p>
    <w:p>
      <w:pPr>
        <w:pStyle w:val="ListParagraph"/>
        <w:numPr>
          <w:ilvl w:val="0"/>
          <w:numId w:val="1"/>
        </w:numPr>
        <w:spacing w:after="100" w:line="276"/>
      </w:pPr>
      <w:r>
        <w:t xml:space="preserve">(a) ingesting, within a client-side execution environment of a user computing device, an electronic identity credential digitally signed by a trusted identity authority;</w:t>
      </w:r>
    </w:p>
    <w:p>
      <w:pPr>
        <w:pStyle w:val="ListParagraph"/>
        <w:numPr>
          <w:ilvl w:val="0"/>
          <w:numId w:val="1"/>
        </w:numPr>
        <w:spacing w:after="100" w:line="276"/>
      </w:pPr>
      <w:r>
        <w:t xml:space="preserve">(b) verifying, locally within volatile memory of said user computing device, the digital signature of the electronic identity credential without transmitting the credential across a network;</w:t>
      </w:r>
    </w:p>
    <w:p>
      <w:pPr>
        <w:pStyle w:val="ListParagraph"/>
        <w:numPr>
          <w:ilvl w:val="0"/>
          <w:numId w:val="1"/>
        </w:numPr>
        <w:spacing w:after="100" w:line="276"/>
      </w:pPr>
      <w:r>
        <w:t xml:space="preserve">(c) extracting at least one private identity attribute from the verified credential and supplying said attribute as a private witness into a zero-knowledge constraint circuit;</w:t>
      </w:r>
    </w:p>
    <w:p>
      <w:pPr>
        <w:pStyle w:val="ListParagraph"/>
        <w:numPr>
          <w:ilvl w:val="0"/>
          <w:numId w:val="1"/>
        </w:numPr>
        <w:spacing w:after="100" w:line="276"/>
      </w:pPr>
      <w:r>
        <w:t xml:space="preserve">(d) computing, via a WebAssembly proving engine executing locally, a zero-knowledge proof (pi) and a deterministic cryptographic nullifier hash, and subsequently purging the raw credential from memory;</w:t>
      </w:r>
    </w:p>
    <w:p>
      <w:pPr>
        <w:pStyle w:val="ListParagraph"/>
        <w:numPr>
          <w:ilvl w:val="0"/>
          <w:numId w:val="1"/>
        </w:numPr>
        <w:spacing w:after="100" w:line="276"/>
      </w:pPr>
      <w:r>
        <w:t xml:space="preserve">(e) generating a cryptographic hardware challenge comprising a hash digest of the proof (pi), the nullifier hash, a timestamp, and a relying-party identifier;</w:t>
      </w:r>
    </w:p>
    <w:p>
      <w:pPr>
        <w:pStyle w:val="ListParagraph"/>
        <w:numPr>
          <w:ilvl w:val="0"/>
          <w:numId w:val="1"/>
        </w:numPr>
        <w:spacing w:after="100" w:line="276"/>
      </w:pPr>
      <w:r>
        <w:t xml:space="preserve">(f) signing said hardware challenge using an asymmetric private key isolated within a physical hardware security enclave of said user computing device, wherein accessing said key requires local biometric authentication; and</w:t>
      </w:r>
    </w:p>
    <w:p>
      <w:pPr>
        <w:pStyle w:val="ListParagraph"/>
        <w:numPr>
          <w:ilvl w:val="0"/>
          <w:numId w:val="1"/>
        </w:numPr>
        <w:spacing w:after="100" w:line="276"/>
      </w:pPr>
      <w:r>
        <w:t xml:space="preserve">(g) transmitting a composite verification token comprising the proof (pi), nullifier hash, hardware-enclave signature, and a public validation predicate to a relying party, such that the composite verification token is bound to the specific user computing device that generated it.</w:t>
      </w:r>
    </w:p>
    <w:p>
      <w:pPr>
        <w:spacing w:after="100" w:before="220"/>
      </w:pPr>
      <w:r>
        <w:rPr>
          <w:b/>
          <w:bCs/>
        </w:rPr>
        <w:t xml:space="preserve">[Claim 2] Dependent on Claim 1 - Proof System:</w:t>
      </w:r>
    </w:p>
    <w:p>
      <w:pPr>
        <w:spacing w:after="160" w:line="276"/>
        <w:jc w:val="both"/>
      </w:pPr>
      <w:r>
        <w:t xml:space="preserve">The method of Claim 1, wherein the zero-knowledge constraint circuit comprises a Rank-1 Constraint System (R1CS) executing a Groth16 proving algorithm over the BN254 elliptic curve, producing a constant-size 128-byte proof payload (A in G1, B in G2, C in G1).</w:t>
      </w:r>
    </w:p>
    <w:p>
      <w:pPr>
        <w:spacing w:after="100" w:before="220"/>
      </w:pPr>
      <w:r>
        <w:rPr>
          <w:b/>
          <w:bCs/>
        </w:rPr>
        <w:t xml:space="preserve">[Claim 3] Dependent on Claim 1 - Hardware Interface:</w:t>
      </w:r>
    </w:p>
    <w:p>
      <w:pPr>
        <w:spacing w:after="160" w:line="276"/>
        <w:jc w:val="both"/>
      </w:pPr>
      <w:r>
        <w:t xml:space="preserve">The method of Claim 1, wherein the hardware security enclave is selected from the group consisting of an Apple Secure Enclave, an Android Titan M2 Security Module, and a Trusted Platform Module (TPM 2.0), interfaced via the W3C Web Authentication (WebAuthn / FIDO2) API.</w:t>
      </w:r>
    </w:p>
    <w:p>
      <w:pPr>
        <w:spacing w:after="100" w:before="220"/>
      </w:pPr>
      <w:r>
        <w:rPr>
          <w:b/>
          <w:bCs/>
        </w:rPr>
        <w:t xml:space="preserve">[Claim 4] Independent Method Claim - Constant-Time Decentralized Revocation:</w:t>
      </w:r>
    </w:p>
    <w:p>
      <w:pPr>
        <w:spacing w:after="160" w:line="276"/>
        <w:jc w:val="both"/>
      </w:pPr>
      <w:r>
        <w:t xml:space="preserve">A computer-implemented method for constant-time revocation of a digital identity credential associated with a cryptographic nullifier hash, the method comprising:</w:t>
      </w:r>
    </w:p>
    <w:p>
      <w:pPr>
        <w:pStyle w:val="ListParagraph"/>
        <w:numPr>
          <w:ilvl w:val="0"/>
          <w:numId w:val="1"/>
        </w:numPr>
        <w:spacing w:after="100" w:line="276"/>
      </w:pPr>
      <w:r>
        <w:t xml:space="preserve">(a) generating a revocation transaction, upon a revocation event, the revocation transaction being signed using a hardware-enclave-isolated private key;</w:t>
      </w:r>
    </w:p>
    <w:p>
      <w:pPr>
        <w:pStyle w:val="ListParagraph"/>
        <w:numPr>
          <w:ilvl w:val="0"/>
          <w:numId w:val="1"/>
        </w:numPr>
        <w:spacing w:after="100" w:line="276"/>
      </w:pPr>
      <w:r>
        <w:t xml:space="preserve">(b) broadcasting the revocation transaction to a Layer-1 decentralized ledger network;</w:t>
      </w:r>
    </w:p>
    <w:p>
      <w:pPr>
        <w:pStyle w:val="ListParagraph"/>
        <w:numPr>
          <w:ilvl w:val="0"/>
          <w:numId w:val="1"/>
        </w:numPr>
        <w:spacing w:after="100" w:line="276"/>
      </w:pPr>
      <w:r>
        <w:t xml:space="preserve">(c) writing, in response to the revocation transaction, a revocation flag to a flat key-value storage location on said ledger, the storage location being indexed directly by the nullifier hash rather than by a hierarchical accumulator structure; and</w:t>
      </w:r>
    </w:p>
    <w:p>
      <w:pPr>
        <w:pStyle w:val="ListParagraph"/>
        <w:numPr>
          <w:ilvl w:val="0"/>
          <w:numId w:val="1"/>
        </w:numPr>
        <w:spacing w:after="100" w:line="276"/>
      </w:pPr>
      <w:r>
        <w:t xml:space="preserve">(d) responding to a verifier query for the revocation status of said nullifier hash with a constant-time O(1) lookup of the flat key-value storage location, such that revocation status is available to verifiers within a single block-finality period of the ledger network.</w:t>
      </w:r>
    </w:p>
    <w:p>
      <w:pPr>
        <w:spacing w:after="100" w:before="220"/>
      </w:pPr>
      <w:r>
        <w:rPr>
          <w:b/>
          <w:bCs/>
        </w:rPr>
        <w:t xml:space="preserve">[Claim 5] Dependent on Claim 4 - Algorand Embodiment:</w:t>
      </w:r>
    </w:p>
    <w:p>
      <w:pPr>
        <w:spacing w:after="160" w:line="276"/>
        <w:jc w:val="both"/>
      </w:pPr>
      <w:r>
        <w:t xml:space="preserve">The method of Claim 4, wherein the decentralized ledger network is an Algorand network, the flat key-value storage location is an Algorand Box Storage allocation, and the block-finality period is under four seconds, as embodied in the TestNet deployment described in this specification (Application IDs 761383580 and 761383581).</w:t>
      </w:r>
    </w:p>
    <w:p>
      <w:pPr>
        <w:spacing w:after="100" w:before="220"/>
      </w:pPr>
      <w:r>
        <w:rPr>
          <w:b/>
          <w:bCs/>
        </w:rPr>
        <w:t xml:space="preserve">[Claim 6] Independent System Claim:</w:t>
      </w:r>
    </w:p>
    <w:p>
      <w:pPr>
        <w:spacing w:after="160" w:line="276"/>
        <w:jc w:val="both"/>
      </w:pPr>
      <w:r>
        <w:t xml:space="preserve">A privacy-preserving cryptographic identity verification system comprising: (a) a user client device having a processor, volatile memory, and a hardware security enclave, configured to locally verify a credential signature, compute a zero-knowledge proof and nullifier hash according to Claim 1, and sign a hash digest via a biometrically-gated enclave key; (b) a decentralized ledger network executing a revocation smart contract that stores revocation flags in flat key-value storage locations indexed by nullifier hashes according to Claim 4; and (c) a relying-party verifier node configured to verify the zero-knowledge proof via an on-chain bilinear-pairing operation and to query revocation status via an O(1) key-value lookup.</w:t>
      </w:r>
    </w:p>
    <w:p>
      <w:pPr>
        <w:spacing w:after="100" w:before="220"/>
      </w:pPr>
      <w:r>
        <w:rPr>
          <w:b/>
          <w:bCs/>
        </w:rPr>
        <w:t xml:space="preserve">[Claim 7] Dependent on Claim 6 - Algorand Embodiment:</w:t>
      </w:r>
    </w:p>
    <w:p>
      <w:pPr>
        <w:spacing w:after="160" w:line="276"/>
        <w:jc w:val="both"/>
      </w:pPr>
      <w:r>
        <w:t xml:space="preserve">The system of Claim 6, wherein the decentralized ledger network is Algorand Layer-1, the bilinear-pairing operation is performed via the bn254_pairing AVM opcode, and the flat key-value storage locations are Algorand Box Storage allocations.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ZERO-ID  |  Patent Disclosure &amp; Technical Project Report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9" w:sz="6" w:space="4"/>
      </w:pBdr>
      <w:spacing w:after="160" w:before="320"/>
    </w:pPr>
    <w:rPr>
      <w:b/>
      <w:bCs/>
      <w:color w:val="1F4E79"/>
      <w:sz w:val="30"/>
      <w:szCs w:val="30"/>
    </w:rPr>
  </w:style>
  <w:style w:type="paragraph" w:styleId="Heading2">
    <w:name w:val="Heading 2"/>
    <w:basedOn w:val="Normal"/>
    <w:next w:val="Normal"/>
    <w:pPr>
      <w:spacing w:after="120" w:before="240"/>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2026-08-30T10:58:20.055Z</dcterms:created>
  <dcterms:modified xsi:type="dcterms:W3CDTF">2026-08-30T10:58:20.055Z</dcterms:modified>
</cp:coreProperties>
</file>

<file path=docProps/custom.xml><?xml version="1.0" encoding="utf-8"?>
<Properties xmlns="http://schemas.openxmlformats.org/officeDocument/2006/custom-properties" xmlns:vt="http://schemas.openxmlformats.org/officeDocument/2006/docPropsVTypes"/>
</file>