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5C0B" w:rsidRDefault="004B50DF" w:rsidP="00125C0B">
      <w:pPr>
        <w:rPr>
          <w:rFonts w:ascii="Times New Roman" w:hAnsi="Times New Roman" w:cs="Times New Roman"/>
          <w:b/>
          <w:bCs/>
          <w:sz w:val="24"/>
          <w:szCs w:val="24"/>
        </w:rPr>
      </w:pPr>
      <w:r w:rsidRPr="00125C0B">
        <w:rPr>
          <w:rFonts w:ascii="Times New Roman" w:hAnsi="Times New Roman" w:cs="Times New Roman"/>
          <w:b/>
          <w:bCs/>
          <w:noProof/>
          <w:sz w:val="24"/>
          <w:szCs w:val="24"/>
        </w:rPr>
        <w:drawing>
          <wp:anchor distT="0" distB="0" distL="114300" distR="114300" simplePos="0" relativeHeight="251659264" behindDoc="1" locked="0" layoutInCell="1" allowOverlap="1">
            <wp:simplePos x="0" y="0"/>
            <wp:positionH relativeFrom="column">
              <wp:posOffset>3629025</wp:posOffset>
            </wp:positionH>
            <wp:positionV relativeFrom="paragraph">
              <wp:posOffset>0</wp:posOffset>
            </wp:positionV>
            <wp:extent cx="1609725" cy="857250"/>
            <wp:effectExtent l="0" t="0" r="9525" b="0"/>
            <wp:wrapTight wrapText="bothSides">
              <wp:wrapPolygon edited="0">
                <wp:start x="0" y="0"/>
                <wp:lineTo x="0" y="21120"/>
                <wp:lineTo x="21472" y="21120"/>
                <wp:lineTo x="2147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9725" cy="857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25C0B">
        <w:rPr>
          <w:rFonts w:ascii="Times New Roman" w:hAnsi="Times New Roman" w:cs="Times New Roman"/>
          <w:b/>
          <w:bCs/>
          <w:noProof/>
          <w:sz w:val="24"/>
          <w:szCs w:val="24"/>
        </w:rPr>
        <w:drawing>
          <wp:anchor distT="0" distB="0" distL="114300" distR="114300" simplePos="0" relativeHeight="251658240" behindDoc="1" locked="0" layoutInCell="1" allowOverlap="1">
            <wp:simplePos x="0" y="0"/>
            <wp:positionH relativeFrom="column">
              <wp:posOffset>0</wp:posOffset>
            </wp:positionH>
            <wp:positionV relativeFrom="paragraph">
              <wp:posOffset>0</wp:posOffset>
            </wp:positionV>
            <wp:extent cx="1896110" cy="857250"/>
            <wp:effectExtent l="0" t="0" r="8890" b="0"/>
            <wp:wrapTight wrapText="bothSides">
              <wp:wrapPolygon edited="0">
                <wp:start x="0" y="0"/>
                <wp:lineTo x="0" y="21120"/>
                <wp:lineTo x="21484" y="21120"/>
                <wp:lineTo x="2148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6110" cy="8572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C0B" w:rsidRDefault="00125C0B" w:rsidP="00125C0B">
      <w:pPr>
        <w:jc w:val="center"/>
        <w:rPr>
          <w:rFonts w:ascii="Times New Roman" w:hAnsi="Times New Roman" w:cs="Times New Roman"/>
          <w:b/>
          <w:bCs/>
          <w:sz w:val="24"/>
          <w:szCs w:val="24"/>
        </w:rPr>
      </w:pPr>
    </w:p>
    <w:p w:rsidR="00125C0B" w:rsidRDefault="00125C0B" w:rsidP="00125C0B">
      <w:pPr>
        <w:jc w:val="center"/>
        <w:rPr>
          <w:rFonts w:ascii="Times New Roman" w:hAnsi="Times New Roman" w:cs="Times New Roman"/>
          <w:b/>
          <w:bCs/>
          <w:sz w:val="24"/>
          <w:szCs w:val="24"/>
        </w:rPr>
      </w:pPr>
    </w:p>
    <w:p w:rsidR="00125C0B" w:rsidRDefault="00125C0B" w:rsidP="00125C0B">
      <w:pPr>
        <w:jc w:val="center"/>
        <w:rPr>
          <w:rFonts w:ascii="Times New Roman" w:hAnsi="Times New Roman" w:cs="Times New Roman"/>
          <w:b/>
          <w:bCs/>
          <w:sz w:val="24"/>
          <w:szCs w:val="24"/>
        </w:rPr>
      </w:pPr>
    </w:p>
    <w:p w:rsidR="004B50DF" w:rsidRDefault="004B50DF" w:rsidP="00125C0B">
      <w:pPr>
        <w:jc w:val="center"/>
        <w:rPr>
          <w:rFonts w:ascii="Times New Roman" w:hAnsi="Times New Roman" w:cs="Times New Roman"/>
          <w:b/>
          <w:bCs/>
          <w:sz w:val="24"/>
          <w:szCs w:val="24"/>
        </w:rPr>
      </w:pPr>
    </w:p>
    <w:p w:rsidR="004B50DF" w:rsidRDefault="004B50DF" w:rsidP="00125C0B">
      <w:pPr>
        <w:jc w:val="center"/>
        <w:rPr>
          <w:rFonts w:ascii="Times New Roman" w:hAnsi="Times New Roman" w:cs="Times New Roman"/>
          <w:b/>
          <w:bCs/>
          <w:sz w:val="24"/>
          <w:szCs w:val="24"/>
        </w:rPr>
      </w:pPr>
    </w:p>
    <w:p w:rsidR="004B50DF" w:rsidRDefault="004B50DF" w:rsidP="00125C0B">
      <w:pPr>
        <w:jc w:val="center"/>
        <w:rPr>
          <w:rFonts w:ascii="Times New Roman" w:hAnsi="Times New Roman" w:cs="Times New Roman"/>
          <w:b/>
          <w:bCs/>
          <w:sz w:val="24"/>
          <w:szCs w:val="24"/>
        </w:rPr>
      </w:pPr>
    </w:p>
    <w:p w:rsidR="004B50DF" w:rsidRDefault="004B50DF" w:rsidP="00125C0B">
      <w:pPr>
        <w:jc w:val="center"/>
        <w:rPr>
          <w:rFonts w:ascii="Times New Roman" w:hAnsi="Times New Roman" w:cs="Times New Roman"/>
          <w:b/>
          <w:bCs/>
          <w:sz w:val="24"/>
          <w:szCs w:val="24"/>
        </w:rPr>
      </w:pPr>
    </w:p>
    <w:p w:rsidR="00125C0B" w:rsidRDefault="00125C0B" w:rsidP="00125C0B">
      <w:pPr>
        <w:jc w:val="center"/>
        <w:rPr>
          <w:rFonts w:ascii="Times New Roman" w:hAnsi="Times New Roman" w:cs="Times New Roman"/>
          <w:b/>
          <w:bCs/>
          <w:sz w:val="24"/>
          <w:szCs w:val="24"/>
        </w:rPr>
      </w:pPr>
      <w:r w:rsidRPr="00125C0B">
        <w:rPr>
          <w:rFonts w:ascii="Times New Roman" w:hAnsi="Times New Roman" w:cs="Times New Roman"/>
          <w:b/>
          <w:bCs/>
          <w:sz w:val="24"/>
          <w:szCs w:val="24"/>
        </w:rPr>
        <w:t>Chartered Qual</w:t>
      </w:r>
      <w:bookmarkStart w:id="0" w:name="_GoBack"/>
      <w:bookmarkEnd w:id="0"/>
      <w:r w:rsidRPr="00125C0B">
        <w:rPr>
          <w:rFonts w:ascii="Times New Roman" w:hAnsi="Times New Roman" w:cs="Times New Roman"/>
          <w:b/>
          <w:bCs/>
          <w:sz w:val="24"/>
          <w:szCs w:val="24"/>
        </w:rPr>
        <w:t>ification in Human Resource Management</w:t>
      </w:r>
    </w:p>
    <w:p w:rsidR="00125C0B" w:rsidRDefault="00125C0B" w:rsidP="00125C0B">
      <w:pPr>
        <w:jc w:val="center"/>
        <w:rPr>
          <w:rFonts w:ascii="Times New Roman" w:hAnsi="Times New Roman" w:cs="Times New Roman"/>
          <w:b/>
          <w:bCs/>
          <w:sz w:val="24"/>
          <w:szCs w:val="24"/>
        </w:rPr>
      </w:pPr>
    </w:p>
    <w:p w:rsidR="00125C0B" w:rsidRDefault="00125C0B" w:rsidP="00125C0B">
      <w:pPr>
        <w:jc w:val="center"/>
        <w:rPr>
          <w:rFonts w:ascii="Times New Roman" w:hAnsi="Times New Roman" w:cs="Times New Roman"/>
          <w:b/>
          <w:bCs/>
          <w:sz w:val="24"/>
          <w:szCs w:val="24"/>
        </w:rPr>
      </w:pPr>
    </w:p>
    <w:p w:rsidR="00125C0B" w:rsidRDefault="00125C0B" w:rsidP="00125C0B">
      <w:pPr>
        <w:jc w:val="center"/>
        <w:rPr>
          <w:rFonts w:ascii="Times New Roman" w:hAnsi="Times New Roman" w:cs="Times New Roman"/>
          <w:b/>
          <w:bCs/>
          <w:sz w:val="24"/>
          <w:szCs w:val="24"/>
        </w:rPr>
      </w:pPr>
    </w:p>
    <w:p w:rsidR="00125C0B" w:rsidRDefault="00125C0B" w:rsidP="00125C0B">
      <w:pPr>
        <w:jc w:val="center"/>
        <w:rPr>
          <w:rFonts w:ascii="Times New Roman" w:hAnsi="Times New Roman" w:cs="Times New Roman"/>
          <w:b/>
          <w:bCs/>
          <w:sz w:val="24"/>
          <w:szCs w:val="24"/>
        </w:rPr>
      </w:pPr>
    </w:p>
    <w:p w:rsidR="00125C0B" w:rsidRDefault="00125C0B" w:rsidP="00125C0B">
      <w:pPr>
        <w:jc w:val="center"/>
        <w:rPr>
          <w:rFonts w:ascii="Times New Roman" w:hAnsi="Times New Roman" w:cs="Times New Roman"/>
          <w:b/>
          <w:bCs/>
          <w:sz w:val="24"/>
          <w:szCs w:val="24"/>
        </w:rPr>
      </w:pPr>
      <w:r>
        <w:rPr>
          <w:rFonts w:ascii="Times New Roman" w:hAnsi="Times New Roman" w:cs="Times New Roman"/>
          <w:b/>
          <w:bCs/>
          <w:sz w:val="24"/>
          <w:szCs w:val="24"/>
        </w:rPr>
        <w:t>Case study 03</w:t>
      </w:r>
      <w:r>
        <w:rPr>
          <w:rFonts w:ascii="Times New Roman" w:hAnsi="Times New Roman" w:cs="Times New Roman"/>
          <w:b/>
          <w:bCs/>
          <w:sz w:val="24"/>
          <w:szCs w:val="24"/>
        </w:rPr>
        <w:br w:type="page"/>
      </w:r>
    </w:p>
    <w:sdt>
      <w:sdtPr>
        <w:id w:val="1494142670"/>
        <w:docPartObj>
          <w:docPartGallery w:val="Table of Contents"/>
          <w:docPartUnique/>
        </w:docPartObj>
      </w:sdtPr>
      <w:sdtEndPr>
        <w:rPr>
          <w:rFonts w:asciiTheme="minorHAnsi" w:eastAsiaTheme="minorEastAsia" w:hAnsiTheme="minorHAnsi" w:cstheme="minorBidi"/>
          <w:b/>
          <w:bCs/>
          <w:noProof/>
          <w:color w:val="auto"/>
          <w:sz w:val="22"/>
          <w:szCs w:val="22"/>
          <w:lang w:eastAsia="ko-KR" w:bidi="si-LK"/>
        </w:rPr>
      </w:sdtEndPr>
      <w:sdtContent>
        <w:p w:rsidR="00125C0B" w:rsidRPr="00125C0B" w:rsidRDefault="00125C0B" w:rsidP="00125C0B">
          <w:pPr>
            <w:pStyle w:val="TOCHeading"/>
            <w:spacing w:before="0" w:line="360" w:lineRule="auto"/>
            <w:jc w:val="center"/>
            <w:rPr>
              <w:rFonts w:ascii="Times New Roman" w:hAnsi="Times New Roman" w:cs="Times New Roman"/>
              <w:b/>
              <w:bCs/>
              <w:color w:val="auto"/>
              <w:sz w:val="24"/>
              <w:szCs w:val="24"/>
            </w:rPr>
          </w:pPr>
          <w:r w:rsidRPr="00125C0B">
            <w:rPr>
              <w:rFonts w:ascii="Times New Roman" w:hAnsi="Times New Roman" w:cs="Times New Roman"/>
              <w:b/>
              <w:bCs/>
              <w:color w:val="auto"/>
              <w:sz w:val="24"/>
              <w:szCs w:val="24"/>
            </w:rPr>
            <w:t>Table of contents</w:t>
          </w:r>
        </w:p>
        <w:p w:rsidR="00125C0B" w:rsidRPr="00125C0B" w:rsidRDefault="00125C0B" w:rsidP="00125C0B">
          <w:pPr>
            <w:pStyle w:val="TOC1"/>
            <w:tabs>
              <w:tab w:val="right" w:leader="dot" w:pos="8297"/>
            </w:tabs>
            <w:spacing w:line="360" w:lineRule="auto"/>
            <w:rPr>
              <w:rFonts w:ascii="Times New Roman" w:hAnsi="Times New Roman" w:cs="Times New Roman"/>
              <w:noProof/>
              <w:sz w:val="24"/>
              <w:szCs w:val="24"/>
            </w:rPr>
          </w:pPr>
          <w:r w:rsidRPr="00125C0B">
            <w:rPr>
              <w:rFonts w:ascii="Times New Roman" w:hAnsi="Times New Roman" w:cs="Times New Roman"/>
              <w:sz w:val="24"/>
              <w:szCs w:val="24"/>
            </w:rPr>
            <w:fldChar w:fldCharType="begin"/>
          </w:r>
          <w:r w:rsidRPr="00125C0B">
            <w:rPr>
              <w:rFonts w:ascii="Times New Roman" w:hAnsi="Times New Roman" w:cs="Times New Roman"/>
              <w:sz w:val="24"/>
              <w:szCs w:val="24"/>
            </w:rPr>
            <w:instrText xml:space="preserve"> TOC \o "1-3" \h \z \u </w:instrText>
          </w:r>
          <w:r w:rsidRPr="00125C0B">
            <w:rPr>
              <w:rFonts w:ascii="Times New Roman" w:hAnsi="Times New Roman" w:cs="Times New Roman"/>
              <w:sz w:val="24"/>
              <w:szCs w:val="24"/>
            </w:rPr>
            <w:fldChar w:fldCharType="separate"/>
          </w:r>
          <w:hyperlink w:anchor="_Toc211964208" w:history="1">
            <w:r w:rsidRPr="00125C0B">
              <w:rPr>
                <w:rStyle w:val="Hyperlink"/>
                <w:rFonts w:ascii="Times New Roman" w:hAnsi="Times New Roman" w:cs="Times New Roman"/>
                <w:noProof/>
                <w:sz w:val="24"/>
                <w:szCs w:val="24"/>
              </w:rPr>
              <w:t>Question 1</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_Toc211964208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3</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2"/>
            <w:tabs>
              <w:tab w:val="right" w:leader="dot" w:pos="8297"/>
            </w:tabs>
            <w:spacing w:line="360" w:lineRule="auto"/>
            <w:rPr>
              <w:rFonts w:ascii="Times New Roman" w:hAnsi="Times New Roman" w:cs="Times New Roman"/>
              <w:noProof/>
              <w:sz w:val="24"/>
              <w:szCs w:val="24"/>
            </w:rPr>
          </w:pPr>
          <w:hyperlink w:anchor="_Toc211964209" w:history="1">
            <w:r w:rsidRPr="00125C0B">
              <w:rPr>
                <w:rStyle w:val="Hyperlink"/>
                <w:rFonts w:ascii="Times New Roman" w:hAnsi="Times New Roman" w:cs="Times New Roman"/>
                <w:noProof/>
                <w:sz w:val="24"/>
                <w:szCs w:val="24"/>
              </w:rPr>
              <w:t>Knowing industry 4.0</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_Toc211964209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3</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2"/>
            <w:tabs>
              <w:tab w:val="right" w:leader="dot" w:pos="8297"/>
            </w:tabs>
            <w:spacing w:line="360" w:lineRule="auto"/>
            <w:rPr>
              <w:rFonts w:ascii="Times New Roman" w:hAnsi="Times New Roman" w:cs="Times New Roman"/>
              <w:noProof/>
              <w:sz w:val="24"/>
              <w:szCs w:val="24"/>
            </w:rPr>
          </w:pPr>
          <w:hyperlink w:anchor="_Toc211964210" w:history="1">
            <w:r w:rsidRPr="00125C0B">
              <w:rPr>
                <w:rStyle w:val="Hyperlink"/>
                <w:rFonts w:ascii="Times New Roman" w:hAnsi="Times New Roman" w:cs="Times New Roman"/>
                <w:noProof/>
                <w:sz w:val="24"/>
                <w:szCs w:val="24"/>
              </w:rPr>
              <w:t>TTL's 4.0 industry integration requirement</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_Toc211964210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3</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2"/>
            <w:tabs>
              <w:tab w:val="right" w:leader="dot" w:pos="8297"/>
            </w:tabs>
            <w:spacing w:line="360" w:lineRule="auto"/>
            <w:rPr>
              <w:rFonts w:ascii="Times New Roman" w:hAnsi="Times New Roman" w:cs="Times New Roman"/>
              <w:noProof/>
              <w:sz w:val="24"/>
              <w:szCs w:val="24"/>
            </w:rPr>
          </w:pPr>
          <w:hyperlink w:anchor="_Toc211964211" w:history="1">
            <w:r w:rsidRPr="00125C0B">
              <w:rPr>
                <w:rStyle w:val="Hyperlink"/>
                <w:rFonts w:ascii="Times New Roman" w:hAnsi="Times New Roman" w:cs="Times New Roman"/>
                <w:noProof/>
                <w:sz w:val="24"/>
                <w:szCs w:val="24"/>
              </w:rPr>
              <w:t>Preparations needed by TTL</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_Toc211964211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3</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2"/>
            <w:tabs>
              <w:tab w:val="right" w:leader="dot" w:pos="8297"/>
            </w:tabs>
            <w:spacing w:line="360" w:lineRule="auto"/>
            <w:rPr>
              <w:rFonts w:ascii="Times New Roman" w:hAnsi="Times New Roman" w:cs="Times New Roman"/>
              <w:noProof/>
              <w:sz w:val="24"/>
              <w:szCs w:val="24"/>
            </w:rPr>
          </w:pPr>
          <w:hyperlink w:anchor="_Toc211964212" w:history="1">
            <w:r w:rsidRPr="00125C0B">
              <w:rPr>
                <w:rStyle w:val="Hyperlink"/>
                <w:rFonts w:ascii="Times New Roman" w:hAnsi="Times New Roman" w:cs="Times New Roman"/>
                <w:noProof/>
                <w:sz w:val="24"/>
                <w:szCs w:val="24"/>
              </w:rPr>
              <w:t>The functions of HR professionals at TTL</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_Toc211964212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4</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2"/>
            <w:tabs>
              <w:tab w:val="right" w:leader="dot" w:pos="8297"/>
            </w:tabs>
            <w:spacing w:line="360" w:lineRule="auto"/>
            <w:rPr>
              <w:rFonts w:ascii="Times New Roman" w:hAnsi="Times New Roman" w:cs="Times New Roman"/>
              <w:noProof/>
              <w:sz w:val="24"/>
              <w:szCs w:val="24"/>
            </w:rPr>
          </w:pPr>
          <w:hyperlink w:anchor="_Toc211964213" w:history="1">
            <w:r w:rsidRPr="00125C0B">
              <w:rPr>
                <w:rStyle w:val="Hyperlink"/>
                <w:rFonts w:ascii="Times New Roman" w:hAnsi="Times New Roman" w:cs="Times New Roman"/>
                <w:noProof/>
                <w:sz w:val="24"/>
                <w:szCs w:val="24"/>
              </w:rPr>
              <w:t>Conclusion</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_Toc211964213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4</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1"/>
            <w:tabs>
              <w:tab w:val="right" w:leader="dot" w:pos="8297"/>
            </w:tabs>
            <w:spacing w:line="360" w:lineRule="auto"/>
            <w:rPr>
              <w:rFonts w:ascii="Times New Roman" w:hAnsi="Times New Roman" w:cs="Times New Roman"/>
              <w:noProof/>
              <w:sz w:val="24"/>
              <w:szCs w:val="24"/>
            </w:rPr>
          </w:pPr>
          <w:hyperlink w:anchor="_Toc211964214" w:history="1">
            <w:r w:rsidRPr="00125C0B">
              <w:rPr>
                <w:rStyle w:val="Hyperlink"/>
                <w:rFonts w:ascii="Times New Roman" w:hAnsi="Times New Roman" w:cs="Times New Roman"/>
                <w:noProof/>
                <w:sz w:val="24"/>
                <w:szCs w:val="24"/>
              </w:rPr>
              <w:t>Question 2</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_Toc211964214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5</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2"/>
            <w:tabs>
              <w:tab w:val="right" w:leader="dot" w:pos="8297"/>
            </w:tabs>
            <w:spacing w:line="360" w:lineRule="auto"/>
            <w:rPr>
              <w:rFonts w:ascii="Times New Roman" w:hAnsi="Times New Roman" w:cs="Times New Roman"/>
              <w:noProof/>
              <w:sz w:val="24"/>
              <w:szCs w:val="24"/>
            </w:rPr>
          </w:pPr>
          <w:hyperlink w:anchor="_Toc211964215" w:history="1">
            <w:r w:rsidRPr="00125C0B">
              <w:rPr>
                <w:rStyle w:val="Hyperlink"/>
                <w:rFonts w:ascii="Times New Roman" w:hAnsi="Times New Roman" w:cs="Times New Roman"/>
                <w:noProof/>
                <w:sz w:val="24"/>
                <w:szCs w:val="24"/>
              </w:rPr>
              <w:t>Understanding digital disruption and transformation</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_Toc211964215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5</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2"/>
            <w:tabs>
              <w:tab w:val="right" w:leader="dot" w:pos="8297"/>
            </w:tabs>
            <w:spacing w:line="360" w:lineRule="auto"/>
            <w:rPr>
              <w:rFonts w:ascii="Times New Roman" w:hAnsi="Times New Roman" w:cs="Times New Roman"/>
              <w:noProof/>
              <w:sz w:val="24"/>
              <w:szCs w:val="24"/>
            </w:rPr>
          </w:pPr>
          <w:hyperlink w:anchor="_Toc211964216" w:history="1">
            <w:r w:rsidRPr="00125C0B">
              <w:rPr>
                <w:rStyle w:val="Hyperlink"/>
                <w:rFonts w:ascii="Times New Roman" w:hAnsi="Times New Roman" w:cs="Times New Roman"/>
                <w:noProof/>
                <w:sz w:val="24"/>
                <w:szCs w:val="24"/>
              </w:rPr>
              <w:t>Impact of Digital Disruption on TTL's Business Model</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_Toc211964216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5</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2"/>
            <w:tabs>
              <w:tab w:val="right" w:leader="dot" w:pos="8297"/>
            </w:tabs>
            <w:spacing w:line="360" w:lineRule="auto"/>
            <w:rPr>
              <w:rFonts w:ascii="Times New Roman" w:hAnsi="Times New Roman" w:cs="Times New Roman"/>
              <w:noProof/>
              <w:sz w:val="24"/>
              <w:szCs w:val="24"/>
            </w:rPr>
          </w:pPr>
          <w:hyperlink w:anchor="_Toc211964217" w:history="1">
            <w:r w:rsidRPr="00125C0B">
              <w:rPr>
                <w:rStyle w:val="Hyperlink"/>
                <w:rFonts w:ascii="Times New Roman" w:hAnsi="Times New Roman" w:cs="Times New Roman"/>
                <w:noProof/>
                <w:sz w:val="24"/>
                <w:szCs w:val="24"/>
              </w:rPr>
              <w:t>Strategic advantages of digital transformation for TTL</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_Toc211964217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5</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2"/>
            <w:tabs>
              <w:tab w:val="right" w:leader="dot" w:pos="8297"/>
            </w:tabs>
            <w:spacing w:line="360" w:lineRule="auto"/>
            <w:rPr>
              <w:rFonts w:ascii="Times New Roman" w:hAnsi="Times New Roman" w:cs="Times New Roman"/>
              <w:noProof/>
              <w:sz w:val="24"/>
              <w:szCs w:val="24"/>
            </w:rPr>
          </w:pPr>
          <w:hyperlink w:anchor="_Toc211964218" w:history="1">
            <w:r w:rsidRPr="00125C0B">
              <w:rPr>
                <w:rStyle w:val="Hyperlink"/>
                <w:rFonts w:ascii="Times New Roman" w:hAnsi="Times New Roman" w:cs="Times New Roman"/>
                <w:noProof/>
                <w:sz w:val="24"/>
                <w:szCs w:val="24"/>
              </w:rPr>
              <w:t>The role of people and organizational culture</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_Toc211964218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6</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2"/>
            <w:tabs>
              <w:tab w:val="right" w:leader="dot" w:pos="8297"/>
            </w:tabs>
            <w:spacing w:line="360" w:lineRule="auto"/>
            <w:rPr>
              <w:rFonts w:ascii="Times New Roman" w:hAnsi="Times New Roman" w:cs="Times New Roman"/>
              <w:noProof/>
              <w:sz w:val="24"/>
              <w:szCs w:val="24"/>
            </w:rPr>
          </w:pPr>
          <w:hyperlink w:anchor="_Toc211964219" w:history="1">
            <w:r w:rsidRPr="00125C0B">
              <w:rPr>
                <w:rStyle w:val="Hyperlink"/>
                <w:rFonts w:ascii="Times New Roman" w:hAnsi="Times New Roman" w:cs="Times New Roman"/>
                <w:noProof/>
                <w:sz w:val="24"/>
                <w:szCs w:val="24"/>
              </w:rPr>
              <w:t>Conclusion</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_Toc211964219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6</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1"/>
            <w:tabs>
              <w:tab w:val="right" w:leader="dot" w:pos="8297"/>
            </w:tabs>
            <w:spacing w:line="360" w:lineRule="auto"/>
            <w:rPr>
              <w:rFonts w:ascii="Times New Roman" w:hAnsi="Times New Roman" w:cs="Times New Roman"/>
              <w:noProof/>
              <w:sz w:val="24"/>
              <w:szCs w:val="24"/>
            </w:rPr>
          </w:pPr>
          <w:hyperlink w:anchor="_Toc211964220" w:history="1">
            <w:r w:rsidRPr="00125C0B">
              <w:rPr>
                <w:rStyle w:val="Hyperlink"/>
                <w:rFonts w:ascii="Times New Roman" w:hAnsi="Times New Roman" w:cs="Times New Roman"/>
                <w:noProof/>
                <w:sz w:val="24"/>
                <w:szCs w:val="24"/>
              </w:rPr>
              <w:t>Question 3</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_Toc211964220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7</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2"/>
            <w:tabs>
              <w:tab w:val="right" w:leader="dot" w:pos="8297"/>
            </w:tabs>
            <w:spacing w:line="360" w:lineRule="auto"/>
            <w:rPr>
              <w:rFonts w:ascii="Times New Roman" w:hAnsi="Times New Roman" w:cs="Times New Roman"/>
              <w:noProof/>
              <w:sz w:val="24"/>
              <w:szCs w:val="24"/>
            </w:rPr>
          </w:pPr>
          <w:hyperlink w:anchor="_Toc211964221" w:history="1">
            <w:r w:rsidRPr="00125C0B">
              <w:rPr>
                <w:rStyle w:val="Hyperlink"/>
                <w:rFonts w:ascii="Times New Roman" w:hAnsi="Times New Roman" w:cs="Times New Roman"/>
                <w:noProof/>
                <w:sz w:val="24"/>
                <w:szCs w:val="24"/>
              </w:rPr>
              <w:t>Understanding HR analytics and the data-driven strategy</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_Toc211964221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7</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2"/>
            <w:tabs>
              <w:tab w:val="right" w:leader="dot" w:pos="8297"/>
            </w:tabs>
            <w:spacing w:line="360" w:lineRule="auto"/>
            <w:rPr>
              <w:rFonts w:ascii="Times New Roman" w:hAnsi="Times New Roman" w:cs="Times New Roman"/>
              <w:noProof/>
              <w:sz w:val="24"/>
              <w:szCs w:val="24"/>
            </w:rPr>
          </w:pPr>
          <w:hyperlink w:anchor="_Toc211964222" w:history="1">
            <w:r w:rsidRPr="00125C0B">
              <w:rPr>
                <w:rStyle w:val="Hyperlink"/>
                <w:rFonts w:ascii="Times New Roman" w:hAnsi="Times New Roman" w:cs="Times New Roman"/>
                <w:noProof/>
                <w:sz w:val="24"/>
                <w:szCs w:val="24"/>
              </w:rPr>
              <w:t>Porter's value chain model and its relevance to TTL</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_Toc211964222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7</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2"/>
            <w:tabs>
              <w:tab w:val="right" w:leader="dot" w:pos="8297"/>
            </w:tabs>
            <w:spacing w:line="360" w:lineRule="auto"/>
            <w:rPr>
              <w:rFonts w:ascii="Times New Roman" w:hAnsi="Times New Roman" w:cs="Times New Roman"/>
              <w:noProof/>
              <w:sz w:val="24"/>
              <w:szCs w:val="24"/>
            </w:rPr>
          </w:pPr>
          <w:hyperlink w:anchor="_Toc211964223" w:history="1">
            <w:r w:rsidRPr="00125C0B">
              <w:rPr>
                <w:rStyle w:val="Hyperlink"/>
                <w:rFonts w:ascii="Times New Roman" w:hAnsi="Times New Roman" w:cs="Times New Roman"/>
                <w:noProof/>
                <w:sz w:val="24"/>
                <w:szCs w:val="24"/>
              </w:rPr>
              <w:t>HR strategic role in utilizing analytics in TTL</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_Toc211964223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8</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2"/>
            <w:tabs>
              <w:tab w:val="right" w:leader="dot" w:pos="8297"/>
            </w:tabs>
            <w:spacing w:line="360" w:lineRule="auto"/>
            <w:rPr>
              <w:rFonts w:ascii="Times New Roman" w:hAnsi="Times New Roman" w:cs="Times New Roman"/>
              <w:noProof/>
              <w:sz w:val="24"/>
              <w:szCs w:val="24"/>
            </w:rPr>
          </w:pPr>
          <w:hyperlink w:anchor="_Toc211964224" w:history="1">
            <w:r w:rsidRPr="00125C0B">
              <w:rPr>
                <w:rStyle w:val="Hyperlink"/>
                <w:rFonts w:ascii="Times New Roman" w:hAnsi="Times New Roman" w:cs="Times New Roman"/>
                <w:noProof/>
                <w:sz w:val="24"/>
                <w:szCs w:val="24"/>
              </w:rPr>
              <w:t>Conclusion</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_Toc211964224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8</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1"/>
            <w:tabs>
              <w:tab w:val="right" w:leader="dot" w:pos="8297"/>
            </w:tabs>
            <w:spacing w:line="360" w:lineRule="auto"/>
            <w:rPr>
              <w:rFonts w:ascii="Times New Roman" w:hAnsi="Times New Roman" w:cs="Times New Roman"/>
              <w:noProof/>
              <w:sz w:val="24"/>
              <w:szCs w:val="24"/>
            </w:rPr>
          </w:pPr>
          <w:hyperlink w:anchor="_Toc211964225" w:history="1">
            <w:r w:rsidRPr="00125C0B">
              <w:rPr>
                <w:rStyle w:val="Hyperlink"/>
                <w:rFonts w:ascii="Times New Roman" w:hAnsi="Times New Roman" w:cs="Times New Roman"/>
                <w:noProof/>
                <w:sz w:val="24"/>
                <w:szCs w:val="24"/>
              </w:rPr>
              <w:t>Question 4</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_Toc211964225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9</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2"/>
            <w:tabs>
              <w:tab w:val="right" w:leader="dot" w:pos="8297"/>
            </w:tabs>
            <w:spacing w:line="360" w:lineRule="auto"/>
            <w:rPr>
              <w:rFonts w:ascii="Times New Roman" w:hAnsi="Times New Roman" w:cs="Times New Roman"/>
              <w:noProof/>
              <w:sz w:val="24"/>
              <w:szCs w:val="24"/>
            </w:rPr>
          </w:pPr>
          <w:hyperlink w:anchor="_Toc211964226" w:history="1">
            <w:r w:rsidRPr="00125C0B">
              <w:rPr>
                <w:rStyle w:val="Hyperlink"/>
                <w:rFonts w:ascii="Times New Roman" w:hAnsi="Times New Roman" w:cs="Times New Roman"/>
                <w:noProof/>
                <w:sz w:val="24"/>
                <w:szCs w:val="24"/>
              </w:rPr>
              <w:t>How block chain mechanism works</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_Toc211964226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9</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2"/>
            <w:tabs>
              <w:tab w:val="right" w:leader="dot" w:pos="8297"/>
            </w:tabs>
            <w:spacing w:line="360" w:lineRule="auto"/>
            <w:rPr>
              <w:rFonts w:ascii="Times New Roman" w:hAnsi="Times New Roman" w:cs="Times New Roman"/>
              <w:noProof/>
              <w:sz w:val="24"/>
              <w:szCs w:val="24"/>
            </w:rPr>
          </w:pPr>
          <w:hyperlink w:anchor="_Toc211964227" w:history="1">
            <w:r w:rsidRPr="00125C0B">
              <w:rPr>
                <w:rStyle w:val="Hyperlink"/>
                <w:rFonts w:ascii="Times New Roman" w:hAnsi="Times New Roman" w:cs="Times New Roman"/>
                <w:noProof/>
                <w:sz w:val="24"/>
                <w:szCs w:val="24"/>
              </w:rPr>
              <w:t>Block chain in the international business environment of TTL</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_Toc211964227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9</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2"/>
            <w:tabs>
              <w:tab w:val="right" w:leader="dot" w:pos="8297"/>
            </w:tabs>
            <w:spacing w:line="360" w:lineRule="auto"/>
            <w:rPr>
              <w:rFonts w:ascii="Times New Roman" w:hAnsi="Times New Roman" w:cs="Times New Roman"/>
              <w:noProof/>
              <w:sz w:val="24"/>
              <w:szCs w:val="24"/>
            </w:rPr>
          </w:pPr>
          <w:hyperlink w:anchor="_Toc211964228" w:history="1">
            <w:r w:rsidRPr="00125C0B">
              <w:rPr>
                <w:rStyle w:val="Hyperlink"/>
                <w:rFonts w:ascii="Times New Roman" w:hAnsi="Times New Roman" w:cs="Times New Roman"/>
                <w:noProof/>
                <w:sz w:val="24"/>
                <w:szCs w:val="24"/>
              </w:rPr>
              <w:t>Enabling Compliance and Data Security</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_Toc211964228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9</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2"/>
            <w:tabs>
              <w:tab w:val="right" w:leader="dot" w:pos="8297"/>
            </w:tabs>
            <w:spacing w:line="360" w:lineRule="auto"/>
            <w:rPr>
              <w:rFonts w:ascii="Times New Roman" w:hAnsi="Times New Roman" w:cs="Times New Roman"/>
              <w:noProof/>
              <w:sz w:val="24"/>
              <w:szCs w:val="24"/>
            </w:rPr>
          </w:pPr>
          <w:hyperlink w:anchor="_Toc211964229" w:history="1">
            <w:r w:rsidRPr="00125C0B">
              <w:rPr>
                <w:rStyle w:val="Hyperlink"/>
                <w:rFonts w:ascii="Times New Roman" w:hAnsi="Times New Roman" w:cs="Times New Roman"/>
                <w:noProof/>
                <w:sz w:val="24"/>
                <w:szCs w:val="24"/>
              </w:rPr>
              <w:t>Conclusion</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_Toc211964229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9</w:t>
            </w:r>
            <w:r w:rsidRPr="00125C0B">
              <w:rPr>
                <w:rFonts w:ascii="Times New Roman" w:hAnsi="Times New Roman" w:cs="Times New Roman"/>
                <w:noProof/>
                <w:webHidden/>
                <w:sz w:val="24"/>
                <w:szCs w:val="24"/>
              </w:rPr>
              <w:fldChar w:fldCharType="end"/>
            </w:r>
          </w:hyperlink>
        </w:p>
        <w:p w:rsidR="00125C0B" w:rsidRPr="00125C0B" w:rsidRDefault="00125C0B" w:rsidP="00125C0B">
          <w:pPr>
            <w:pStyle w:val="TOC1"/>
            <w:tabs>
              <w:tab w:val="right" w:leader="dot" w:pos="8297"/>
            </w:tabs>
            <w:spacing w:line="360" w:lineRule="auto"/>
            <w:rPr>
              <w:rFonts w:ascii="Times New Roman" w:hAnsi="Times New Roman" w:cs="Times New Roman"/>
              <w:noProof/>
              <w:sz w:val="24"/>
              <w:szCs w:val="24"/>
            </w:rPr>
          </w:pPr>
          <w:hyperlink w:anchor="_Toc211964230" w:history="1">
            <w:r w:rsidRPr="00125C0B">
              <w:rPr>
                <w:rStyle w:val="Hyperlink"/>
                <w:rFonts w:ascii="Times New Roman" w:hAnsi="Times New Roman" w:cs="Times New Roman"/>
                <w:noProof/>
                <w:sz w:val="24"/>
                <w:szCs w:val="24"/>
              </w:rPr>
              <w:t>References</w:t>
            </w:r>
            <w:r w:rsidRPr="00125C0B">
              <w:rPr>
                <w:rFonts w:ascii="Times New Roman" w:hAnsi="Times New Roman" w:cs="Times New Roman"/>
                <w:noProof/>
                <w:webHidden/>
                <w:sz w:val="24"/>
                <w:szCs w:val="24"/>
              </w:rPr>
              <w:tab/>
            </w:r>
            <w:r w:rsidRPr="00125C0B">
              <w:rPr>
                <w:rFonts w:ascii="Times New Roman" w:hAnsi="Times New Roman" w:cs="Times New Roman"/>
                <w:noProof/>
                <w:webHidden/>
                <w:sz w:val="24"/>
                <w:szCs w:val="24"/>
              </w:rPr>
              <w:fldChar w:fldCharType="begin"/>
            </w:r>
            <w:r w:rsidRPr="00125C0B">
              <w:rPr>
                <w:rFonts w:ascii="Times New Roman" w:hAnsi="Times New Roman" w:cs="Times New Roman"/>
                <w:noProof/>
                <w:webHidden/>
                <w:sz w:val="24"/>
                <w:szCs w:val="24"/>
              </w:rPr>
              <w:instrText xml:space="preserve"> PAGEREF _Toc211964230 \h </w:instrText>
            </w:r>
            <w:r w:rsidRPr="00125C0B">
              <w:rPr>
                <w:rFonts w:ascii="Times New Roman" w:hAnsi="Times New Roman" w:cs="Times New Roman"/>
                <w:noProof/>
                <w:webHidden/>
                <w:sz w:val="24"/>
                <w:szCs w:val="24"/>
              </w:rPr>
            </w:r>
            <w:r w:rsidRPr="00125C0B">
              <w:rPr>
                <w:rFonts w:ascii="Times New Roman" w:hAnsi="Times New Roman" w:cs="Times New Roman"/>
                <w:noProof/>
                <w:webHidden/>
                <w:sz w:val="24"/>
                <w:szCs w:val="24"/>
              </w:rPr>
              <w:fldChar w:fldCharType="separate"/>
            </w:r>
            <w:r w:rsidRPr="00125C0B">
              <w:rPr>
                <w:rFonts w:ascii="Times New Roman" w:hAnsi="Times New Roman" w:cs="Times New Roman"/>
                <w:noProof/>
                <w:webHidden/>
                <w:sz w:val="24"/>
                <w:szCs w:val="24"/>
              </w:rPr>
              <w:t>11</w:t>
            </w:r>
            <w:r w:rsidRPr="00125C0B">
              <w:rPr>
                <w:rFonts w:ascii="Times New Roman" w:hAnsi="Times New Roman" w:cs="Times New Roman"/>
                <w:noProof/>
                <w:webHidden/>
                <w:sz w:val="24"/>
                <w:szCs w:val="24"/>
              </w:rPr>
              <w:fldChar w:fldCharType="end"/>
            </w:r>
          </w:hyperlink>
        </w:p>
        <w:p w:rsidR="00125C0B" w:rsidRDefault="00125C0B" w:rsidP="00125C0B">
          <w:pPr>
            <w:spacing w:line="360" w:lineRule="auto"/>
          </w:pPr>
          <w:r w:rsidRPr="00125C0B">
            <w:rPr>
              <w:rFonts w:ascii="Times New Roman" w:hAnsi="Times New Roman" w:cs="Times New Roman"/>
              <w:noProof/>
              <w:sz w:val="24"/>
              <w:szCs w:val="24"/>
            </w:rPr>
            <w:fldChar w:fldCharType="end"/>
          </w:r>
        </w:p>
      </w:sdtContent>
    </w:sdt>
    <w:p w:rsidR="00125C0B" w:rsidRDefault="00125C0B">
      <w:pPr>
        <w:rPr>
          <w:rFonts w:ascii="Times New Roman" w:eastAsiaTheme="majorEastAsia" w:hAnsi="Times New Roman" w:cs="Times New Roman"/>
          <w:b/>
          <w:bCs/>
          <w:sz w:val="24"/>
          <w:szCs w:val="24"/>
        </w:rPr>
      </w:pPr>
      <w:r>
        <w:rPr>
          <w:rFonts w:ascii="Times New Roman" w:hAnsi="Times New Roman" w:cs="Times New Roman"/>
          <w:b/>
          <w:bCs/>
          <w:sz w:val="24"/>
          <w:szCs w:val="24"/>
        </w:rPr>
        <w:br w:type="page"/>
      </w:r>
    </w:p>
    <w:p w:rsidR="00FA19D7" w:rsidRDefault="00E57CA0" w:rsidP="00E57CA0">
      <w:pPr>
        <w:pStyle w:val="Heading1"/>
        <w:spacing w:before="0" w:line="360" w:lineRule="auto"/>
        <w:jc w:val="center"/>
        <w:rPr>
          <w:rFonts w:ascii="Times New Roman" w:hAnsi="Times New Roman" w:cs="Times New Roman"/>
          <w:b/>
          <w:bCs/>
          <w:color w:val="auto"/>
          <w:sz w:val="24"/>
          <w:szCs w:val="24"/>
        </w:rPr>
      </w:pPr>
      <w:bookmarkStart w:id="1" w:name="_Toc211964208"/>
      <w:r w:rsidRPr="00E57CA0">
        <w:rPr>
          <w:rFonts w:ascii="Times New Roman" w:hAnsi="Times New Roman" w:cs="Times New Roman"/>
          <w:b/>
          <w:bCs/>
          <w:color w:val="auto"/>
          <w:sz w:val="24"/>
          <w:szCs w:val="24"/>
        </w:rPr>
        <w:lastRenderedPageBreak/>
        <w:t>Question 1</w:t>
      </w:r>
      <w:bookmarkEnd w:id="1"/>
    </w:p>
    <w:p w:rsidR="005D4BAF" w:rsidRPr="005D4BAF" w:rsidRDefault="005D4BAF" w:rsidP="005D4BAF">
      <w:pPr>
        <w:pStyle w:val="Heading2"/>
        <w:spacing w:before="0" w:line="360" w:lineRule="auto"/>
        <w:rPr>
          <w:rFonts w:ascii="Times New Roman" w:hAnsi="Times New Roman" w:cs="Times New Roman"/>
          <w:b/>
          <w:bCs/>
        </w:rPr>
      </w:pPr>
      <w:bookmarkStart w:id="2" w:name="_Toc211964209"/>
      <w:r w:rsidRPr="005D4BAF">
        <w:rPr>
          <w:rFonts w:ascii="Times New Roman" w:hAnsi="Times New Roman" w:cs="Times New Roman"/>
          <w:b/>
          <w:bCs/>
          <w:color w:val="auto"/>
          <w:sz w:val="24"/>
          <w:szCs w:val="24"/>
        </w:rPr>
        <w:t>Knowing industry 4.0</w:t>
      </w:r>
      <w:bookmarkEnd w:id="2"/>
    </w:p>
    <w:p w:rsidR="005D4BAF" w:rsidRPr="005D4BAF" w:rsidRDefault="005D4BAF" w:rsidP="005D4BAF">
      <w:pPr>
        <w:spacing w:after="0" w:line="360" w:lineRule="auto"/>
        <w:jc w:val="both"/>
        <w:rPr>
          <w:rFonts w:ascii="Times New Roman" w:hAnsi="Times New Roman" w:cs="Times New Roman"/>
          <w:sz w:val="24"/>
          <w:szCs w:val="24"/>
        </w:rPr>
      </w:pPr>
      <w:r w:rsidRPr="005D4BAF">
        <w:rPr>
          <w:rFonts w:ascii="Times New Roman" w:hAnsi="Times New Roman" w:cs="Times New Roman"/>
          <w:sz w:val="24"/>
          <w:szCs w:val="24"/>
        </w:rPr>
        <w:t>Industry 4.0, also referred to as the Fourth Industrial Revolution, is a new era of technology that blends both digital and physical worlds. It entails the utilization of automation, artificial intelligence, machine learning, robotics, Internet of Things (IoT), as well as big data analytics to develop smart and connected systems. Contrary to earlier revolutions that dealt with mechanization, mass manufacturing, as well as digitalization, Industry 4.0 is regarding smart systems that inform one another, learn, as well as make independent decisions. In logistics, it allows organizations to perform with up-to-date facts, track materials effectively, as well as address immediate globalization supply chain issues.</w:t>
      </w:r>
    </w:p>
    <w:p w:rsidR="005D4BAF" w:rsidRPr="005D4BAF" w:rsidRDefault="005D4BAF" w:rsidP="005D4BAF">
      <w:pPr>
        <w:pStyle w:val="Heading2"/>
        <w:spacing w:before="0" w:line="360" w:lineRule="auto"/>
        <w:rPr>
          <w:rFonts w:ascii="Times New Roman" w:hAnsi="Times New Roman" w:cs="Times New Roman"/>
          <w:b/>
          <w:bCs/>
          <w:color w:val="auto"/>
          <w:sz w:val="24"/>
          <w:szCs w:val="24"/>
        </w:rPr>
      </w:pPr>
      <w:bookmarkStart w:id="3" w:name="_Toc211964210"/>
      <w:r w:rsidRPr="005D4BAF">
        <w:rPr>
          <w:rFonts w:ascii="Times New Roman" w:hAnsi="Times New Roman" w:cs="Times New Roman"/>
          <w:b/>
          <w:bCs/>
          <w:color w:val="auto"/>
          <w:sz w:val="24"/>
          <w:szCs w:val="24"/>
        </w:rPr>
        <w:t>TTL's 4.0 industry integration requirement</w:t>
      </w:r>
      <w:bookmarkEnd w:id="3"/>
    </w:p>
    <w:p w:rsidR="005D4BAF" w:rsidRPr="005D4BAF" w:rsidRDefault="005D4BAF" w:rsidP="005D4BAF">
      <w:pPr>
        <w:spacing w:after="0" w:line="360" w:lineRule="auto"/>
        <w:jc w:val="both"/>
        <w:rPr>
          <w:rFonts w:ascii="Times New Roman" w:hAnsi="Times New Roman" w:cs="Times New Roman"/>
          <w:sz w:val="24"/>
          <w:szCs w:val="24"/>
        </w:rPr>
      </w:pPr>
      <w:r w:rsidRPr="005D4BAF">
        <w:rPr>
          <w:rFonts w:ascii="Times New Roman" w:hAnsi="Times New Roman" w:cs="Times New Roman"/>
          <w:sz w:val="24"/>
          <w:szCs w:val="24"/>
        </w:rPr>
        <w:t>Touchend Transnational Logistics PLC (TTL) is functioning in a highly competitive and complex world. With expanding customer bases, longer supply chains, and greater expectations for speed, lower costs, and greater visibility, adopting Industry 4.0 is critical for TTL's sustainability as well as its future growth. The company needs to transition from conventional logistics to smart logistics driven by data as well as automation. This would help TTL make quicker decisions quickly, lower human error levels, as well as enhance functionality transparency across its several facilities globally.</w:t>
      </w:r>
    </w:p>
    <w:p w:rsidR="005D4BAF" w:rsidRPr="005D4BAF" w:rsidRDefault="005D4BAF" w:rsidP="005D4BAF">
      <w:pPr>
        <w:pStyle w:val="Heading2"/>
        <w:spacing w:before="0" w:line="360" w:lineRule="auto"/>
        <w:rPr>
          <w:rFonts w:ascii="Times New Roman" w:hAnsi="Times New Roman" w:cs="Times New Roman"/>
          <w:b/>
          <w:bCs/>
          <w:color w:val="auto"/>
          <w:sz w:val="24"/>
          <w:szCs w:val="24"/>
        </w:rPr>
      </w:pPr>
      <w:bookmarkStart w:id="4" w:name="_Toc211964211"/>
      <w:r w:rsidRPr="005D4BAF">
        <w:rPr>
          <w:rFonts w:ascii="Times New Roman" w:hAnsi="Times New Roman" w:cs="Times New Roman"/>
          <w:b/>
          <w:bCs/>
          <w:color w:val="auto"/>
          <w:sz w:val="24"/>
          <w:szCs w:val="24"/>
        </w:rPr>
        <w:t>Preparations needed by TTL</w:t>
      </w:r>
      <w:bookmarkEnd w:id="4"/>
    </w:p>
    <w:p w:rsidR="005D4BAF" w:rsidRPr="005D4BAF" w:rsidRDefault="005D4BAF" w:rsidP="005D4BAF">
      <w:pPr>
        <w:spacing w:after="0" w:line="360" w:lineRule="auto"/>
        <w:jc w:val="both"/>
        <w:rPr>
          <w:rFonts w:ascii="Times New Roman" w:hAnsi="Times New Roman" w:cs="Times New Roman"/>
          <w:sz w:val="24"/>
          <w:szCs w:val="24"/>
        </w:rPr>
      </w:pPr>
      <w:r w:rsidRPr="005D4BAF">
        <w:rPr>
          <w:rFonts w:ascii="Times New Roman" w:hAnsi="Times New Roman" w:cs="Times New Roman"/>
          <w:sz w:val="24"/>
          <w:szCs w:val="24"/>
        </w:rPr>
        <w:t>Preparation for Industry 4.0 requires TTL to first build a strong digital foundation that underlines automation and exchange of real-time data within its network. The deployment of smart warehousing facilities with sensors and robots can help a lot to cut down delay and increase efficiency significantly. The application of artificial intelligence in optimizing routes, predictive analytics in demand planning, and automated documentation facilities will give a boost to TTL's international operations. In addition to it, block chain technology can be integrated to boost up security of data along with transparency and confidence among international associates.</w:t>
      </w:r>
    </w:p>
    <w:p w:rsidR="005D4BAF" w:rsidRPr="005D4BAF" w:rsidRDefault="005D4BAF" w:rsidP="005D4BAF">
      <w:pPr>
        <w:spacing w:after="0" w:line="360" w:lineRule="auto"/>
        <w:jc w:val="both"/>
        <w:rPr>
          <w:rFonts w:ascii="Times New Roman" w:hAnsi="Times New Roman" w:cs="Times New Roman"/>
          <w:sz w:val="24"/>
          <w:szCs w:val="24"/>
        </w:rPr>
      </w:pPr>
      <w:r w:rsidRPr="005D4BAF">
        <w:rPr>
          <w:rFonts w:ascii="Times New Roman" w:hAnsi="Times New Roman" w:cs="Times New Roman"/>
          <w:sz w:val="24"/>
          <w:szCs w:val="24"/>
        </w:rPr>
        <w:t>TTL must also invest in creating robust cybersecurity to shield its digital platforms from potential threats. With the continued expansion of the company in several countries, standard communication as well as collaboration tools are essential to integrate employees, clients, as well as suppliers seamlessly. The administration must also create data-based decision-making structures with analytics to track performance, evaluate risks, as well as discover new market prospects.</w:t>
      </w:r>
      <w:sdt>
        <w:sdtPr>
          <w:rPr>
            <w:rFonts w:ascii="Times New Roman" w:hAnsi="Times New Roman" w:cs="Times New Roman"/>
            <w:sz w:val="24"/>
            <w:szCs w:val="24"/>
          </w:rPr>
          <w:id w:val="1064458684"/>
          <w:citation/>
        </w:sdtPr>
        <w:sdtEndPr/>
        <w:sdtContent>
          <w:r w:rsidR="00172F74">
            <w:rPr>
              <w:rFonts w:ascii="Times New Roman" w:hAnsi="Times New Roman" w:cs="Times New Roman"/>
              <w:sz w:val="24"/>
              <w:szCs w:val="24"/>
            </w:rPr>
            <w:fldChar w:fldCharType="begin"/>
          </w:r>
          <w:r w:rsidR="00172F74">
            <w:rPr>
              <w:rFonts w:ascii="Times New Roman" w:hAnsi="Times New Roman" w:cs="Times New Roman"/>
              <w:sz w:val="24"/>
              <w:szCs w:val="24"/>
            </w:rPr>
            <w:instrText xml:space="preserve"> CITATION MIS25 \l 1033 </w:instrText>
          </w:r>
          <w:r w:rsidR="00172F74">
            <w:rPr>
              <w:rFonts w:ascii="Times New Roman" w:hAnsi="Times New Roman" w:cs="Times New Roman"/>
              <w:sz w:val="24"/>
              <w:szCs w:val="24"/>
            </w:rPr>
            <w:fldChar w:fldCharType="separate"/>
          </w:r>
          <w:r w:rsidR="00172F74">
            <w:rPr>
              <w:rFonts w:ascii="Times New Roman" w:hAnsi="Times New Roman" w:cs="Times New Roman"/>
              <w:noProof/>
              <w:sz w:val="24"/>
              <w:szCs w:val="24"/>
            </w:rPr>
            <w:t xml:space="preserve"> </w:t>
          </w:r>
          <w:r w:rsidR="00172F74" w:rsidRPr="00172F74">
            <w:rPr>
              <w:rFonts w:ascii="Times New Roman" w:hAnsi="Times New Roman" w:cs="Times New Roman"/>
              <w:noProof/>
              <w:sz w:val="24"/>
              <w:szCs w:val="24"/>
            </w:rPr>
            <w:t>(MISC, 2025)</w:t>
          </w:r>
          <w:r w:rsidR="00172F74">
            <w:rPr>
              <w:rFonts w:ascii="Times New Roman" w:hAnsi="Times New Roman" w:cs="Times New Roman"/>
              <w:sz w:val="24"/>
              <w:szCs w:val="24"/>
            </w:rPr>
            <w:fldChar w:fldCharType="end"/>
          </w:r>
        </w:sdtContent>
      </w:sdt>
    </w:p>
    <w:p w:rsidR="005D4BAF" w:rsidRPr="005D4BAF" w:rsidRDefault="005D4BAF" w:rsidP="005D4BAF">
      <w:pPr>
        <w:pStyle w:val="Heading2"/>
        <w:spacing w:before="0" w:line="360" w:lineRule="auto"/>
        <w:rPr>
          <w:rFonts w:ascii="Times New Roman" w:hAnsi="Times New Roman" w:cs="Times New Roman"/>
          <w:b/>
          <w:bCs/>
          <w:color w:val="auto"/>
          <w:sz w:val="24"/>
          <w:szCs w:val="24"/>
        </w:rPr>
      </w:pPr>
      <w:bookmarkStart w:id="5" w:name="_Toc211964212"/>
      <w:r w:rsidRPr="005D4BAF">
        <w:rPr>
          <w:rFonts w:ascii="Times New Roman" w:hAnsi="Times New Roman" w:cs="Times New Roman"/>
          <w:b/>
          <w:bCs/>
          <w:color w:val="auto"/>
          <w:sz w:val="24"/>
          <w:szCs w:val="24"/>
        </w:rPr>
        <w:lastRenderedPageBreak/>
        <w:t>The functions of HR professionals at TTL</w:t>
      </w:r>
      <w:bookmarkEnd w:id="5"/>
    </w:p>
    <w:p w:rsidR="005D4BAF" w:rsidRPr="005D4BAF" w:rsidRDefault="005D4BAF" w:rsidP="005D4BAF">
      <w:pPr>
        <w:spacing w:after="0" w:line="360" w:lineRule="auto"/>
        <w:jc w:val="both"/>
        <w:rPr>
          <w:rFonts w:ascii="Times New Roman" w:hAnsi="Times New Roman" w:cs="Times New Roman"/>
          <w:sz w:val="24"/>
          <w:szCs w:val="24"/>
        </w:rPr>
      </w:pPr>
      <w:r w:rsidRPr="005D4BAF">
        <w:rPr>
          <w:rFonts w:ascii="Times New Roman" w:hAnsi="Times New Roman" w:cs="Times New Roman"/>
          <w:sz w:val="24"/>
          <w:szCs w:val="24"/>
        </w:rPr>
        <w:t>The Industry 4.0 revolution is significantly dependent on the human factor. TTL's HR personnel play a decisive role in preparing employees for this digital revolution. Their main task is to integrate the workforce with organizational technology goals through developing new skills, enhancing levels of adaptability, and promoting innovation culture. HR needs to design and develop constant learning programs to reskill employees on data analytics, on-plant automation, as well as on tools of digital communication.</w:t>
      </w:r>
    </w:p>
    <w:p w:rsidR="005D4BAF" w:rsidRPr="005D4BAF" w:rsidRDefault="005D4BAF" w:rsidP="005D4BAF">
      <w:pPr>
        <w:pStyle w:val="Heading2"/>
        <w:spacing w:before="0" w:line="360" w:lineRule="auto"/>
        <w:rPr>
          <w:rFonts w:ascii="Times New Roman" w:hAnsi="Times New Roman" w:cs="Times New Roman"/>
          <w:b/>
          <w:bCs/>
          <w:color w:val="auto"/>
          <w:sz w:val="24"/>
          <w:szCs w:val="24"/>
        </w:rPr>
      </w:pPr>
      <w:bookmarkStart w:id="6" w:name="_Toc211964213"/>
      <w:r w:rsidRPr="005D4BAF">
        <w:rPr>
          <w:rFonts w:ascii="Times New Roman" w:hAnsi="Times New Roman" w:cs="Times New Roman"/>
          <w:b/>
          <w:bCs/>
          <w:color w:val="auto"/>
          <w:sz w:val="24"/>
          <w:szCs w:val="24"/>
        </w:rPr>
        <w:t>Conclusion</w:t>
      </w:r>
      <w:bookmarkEnd w:id="6"/>
      <w:r w:rsidRPr="005D4BAF">
        <w:rPr>
          <w:rFonts w:ascii="Times New Roman" w:hAnsi="Times New Roman" w:cs="Times New Roman"/>
          <w:b/>
          <w:bCs/>
          <w:color w:val="auto"/>
          <w:sz w:val="24"/>
          <w:szCs w:val="24"/>
        </w:rPr>
        <w:t xml:space="preserve"> </w:t>
      </w:r>
    </w:p>
    <w:p w:rsidR="005D4BAF" w:rsidRDefault="005D4BAF" w:rsidP="005D4BAF">
      <w:pPr>
        <w:spacing w:after="0" w:line="360" w:lineRule="auto"/>
        <w:jc w:val="both"/>
        <w:rPr>
          <w:rFonts w:ascii="Times New Roman" w:hAnsi="Times New Roman" w:cs="Times New Roman"/>
          <w:sz w:val="24"/>
          <w:szCs w:val="24"/>
        </w:rPr>
      </w:pPr>
      <w:r w:rsidRPr="005D4BAF">
        <w:rPr>
          <w:rFonts w:ascii="Times New Roman" w:hAnsi="Times New Roman" w:cs="Times New Roman"/>
          <w:sz w:val="24"/>
          <w:szCs w:val="24"/>
        </w:rPr>
        <w:t>Industry 4.0 is reshaping the logistics scene into an intelligent, data-centric world. In TTL's case, it is both a challenge to be addressed as well as a chance for it to become even more globally competitive. With technology innovation and robust human resource leadership, it is possible for the company to be more efficient, agile, and customer-centric. HR professionals, through upskilling and leading the workforce through digital transition, would help TTL navigate successfully into the future of smart logistics.</w:t>
      </w:r>
      <w:sdt>
        <w:sdtPr>
          <w:rPr>
            <w:rFonts w:ascii="Times New Roman" w:hAnsi="Times New Roman" w:cs="Times New Roman"/>
            <w:sz w:val="24"/>
            <w:szCs w:val="24"/>
          </w:rPr>
          <w:id w:val="-1525004679"/>
          <w:citation/>
        </w:sdtPr>
        <w:sdtEndPr/>
        <w:sdtContent>
          <w:r w:rsidR="00B939CB">
            <w:rPr>
              <w:rFonts w:ascii="Times New Roman" w:hAnsi="Times New Roman" w:cs="Times New Roman"/>
              <w:sz w:val="24"/>
              <w:szCs w:val="24"/>
            </w:rPr>
            <w:fldChar w:fldCharType="begin"/>
          </w:r>
          <w:r w:rsidR="00B939CB">
            <w:rPr>
              <w:rFonts w:ascii="Times New Roman" w:hAnsi="Times New Roman" w:cs="Times New Roman"/>
              <w:sz w:val="24"/>
              <w:szCs w:val="24"/>
            </w:rPr>
            <w:instrText xml:space="preserve"> CITATION Pau041 \l 1033 </w:instrText>
          </w:r>
          <w:r w:rsidR="00B939CB">
            <w:rPr>
              <w:rFonts w:ascii="Times New Roman" w:hAnsi="Times New Roman" w:cs="Times New Roman"/>
              <w:sz w:val="24"/>
              <w:szCs w:val="24"/>
            </w:rPr>
            <w:fldChar w:fldCharType="separate"/>
          </w:r>
          <w:r w:rsidR="00B939CB">
            <w:rPr>
              <w:rFonts w:ascii="Times New Roman" w:hAnsi="Times New Roman" w:cs="Times New Roman"/>
              <w:noProof/>
              <w:sz w:val="24"/>
              <w:szCs w:val="24"/>
            </w:rPr>
            <w:t xml:space="preserve"> </w:t>
          </w:r>
          <w:r w:rsidR="00B939CB" w:rsidRPr="00B939CB">
            <w:rPr>
              <w:rFonts w:ascii="Times New Roman" w:hAnsi="Times New Roman" w:cs="Times New Roman"/>
              <w:noProof/>
              <w:sz w:val="24"/>
              <w:szCs w:val="24"/>
            </w:rPr>
            <w:t>(Hempel, 2004)</w:t>
          </w:r>
          <w:r w:rsidR="00B939CB">
            <w:rPr>
              <w:rFonts w:ascii="Times New Roman" w:hAnsi="Times New Roman" w:cs="Times New Roman"/>
              <w:sz w:val="24"/>
              <w:szCs w:val="24"/>
            </w:rPr>
            <w:fldChar w:fldCharType="end"/>
          </w:r>
        </w:sdtContent>
      </w:sdt>
    </w:p>
    <w:p w:rsidR="005D4BAF" w:rsidRDefault="005D4BAF" w:rsidP="005D4BAF">
      <w:r>
        <w:br w:type="page"/>
      </w:r>
    </w:p>
    <w:p w:rsidR="00E57CA0" w:rsidRPr="00272598" w:rsidRDefault="005D4BAF" w:rsidP="00272598">
      <w:pPr>
        <w:pStyle w:val="Heading1"/>
        <w:spacing w:before="0" w:line="360" w:lineRule="auto"/>
        <w:jc w:val="center"/>
        <w:rPr>
          <w:rFonts w:ascii="Times New Roman" w:hAnsi="Times New Roman" w:cs="Times New Roman"/>
          <w:b/>
          <w:bCs/>
          <w:color w:val="auto"/>
          <w:sz w:val="24"/>
          <w:szCs w:val="24"/>
        </w:rPr>
      </w:pPr>
      <w:bookmarkStart w:id="7" w:name="_Toc211964214"/>
      <w:r w:rsidRPr="00272598">
        <w:rPr>
          <w:rFonts w:ascii="Times New Roman" w:hAnsi="Times New Roman" w:cs="Times New Roman"/>
          <w:b/>
          <w:bCs/>
          <w:color w:val="auto"/>
          <w:sz w:val="24"/>
          <w:szCs w:val="24"/>
        </w:rPr>
        <w:lastRenderedPageBreak/>
        <w:t>Question 2</w:t>
      </w:r>
      <w:bookmarkEnd w:id="7"/>
    </w:p>
    <w:p w:rsidR="00272598" w:rsidRPr="00272598" w:rsidRDefault="00272598" w:rsidP="00272598">
      <w:pPr>
        <w:pStyle w:val="Heading2"/>
        <w:spacing w:before="0" w:line="360" w:lineRule="auto"/>
        <w:rPr>
          <w:rFonts w:ascii="Times New Roman" w:hAnsi="Times New Roman" w:cs="Times New Roman"/>
          <w:b/>
          <w:bCs/>
          <w:color w:val="auto"/>
          <w:sz w:val="24"/>
          <w:szCs w:val="24"/>
        </w:rPr>
      </w:pPr>
      <w:bookmarkStart w:id="8" w:name="_Toc211964215"/>
      <w:r w:rsidRPr="00272598">
        <w:rPr>
          <w:rFonts w:ascii="Times New Roman" w:hAnsi="Times New Roman" w:cs="Times New Roman"/>
          <w:b/>
          <w:bCs/>
          <w:color w:val="auto"/>
          <w:sz w:val="24"/>
          <w:szCs w:val="24"/>
        </w:rPr>
        <w:t>Understanding digital disruption and transformation</w:t>
      </w:r>
      <w:bookmarkEnd w:id="8"/>
    </w:p>
    <w:p w:rsidR="00272598" w:rsidRPr="00272598" w:rsidRDefault="00272598" w:rsidP="00272598">
      <w:pPr>
        <w:spacing w:after="0" w:line="360" w:lineRule="auto"/>
        <w:jc w:val="both"/>
        <w:rPr>
          <w:rFonts w:ascii="Times New Roman" w:hAnsi="Times New Roman" w:cs="Times New Roman"/>
          <w:sz w:val="24"/>
          <w:szCs w:val="24"/>
        </w:rPr>
      </w:pPr>
      <w:r w:rsidRPr="00272598">
        <w:rPr>
          <w:rFonts w:ascii="Times New Roman" w:hAnsi="Times New Roman" w:cs="Times New Roman"/>
          <w:sz w:val="24"/>
          <w:szCs w:val="24"/>
        </w:rPr>
        <w:t>Digital disruption refers to the transformation that occurs when emerging digital technologies and business models affect the value proposition of existing goods and services. It reshapes how businesses operate, customers interact, and industries evolve. Companies that fail to keep pace with this disruption risk losing their relevance and competitiveness. Digital transformation, on the other hand, is the process through which businesses leverage these technologies to redesign their business models, improve performance, and produce more value for customers. It's not merely a matter of adding technology but also of changing the mindset, culture, and processes of the business to be more agile and customer-focused.</w:t>
      </w:r>
    </w:p>
    <w:p w:rsidR="00272598" w:rsidRPr="00272598" w:rsidRDefault="00272598" w:rsidP="00272598">
      <w:pPr>
        <w:pStyle w:val="Heading2"/>
        <w:spacing w:before="0" w:line="360" w:lineRule="auto"/>
        <w:rPr>
          <w:rFonts w:ascii="Times New Roman" w:hAnsi="Times New Roman" w:cs="Times New Roman"/>
          <w:b/>
          <w:bCs/>
          <w:color w:val="auto"/>
          <w:sz w:val="24"/>
          <w:szCs w:val="24"/>
        </w:rPr>
      </w:pPr>
      <w:bookmarkStart w:id="9" w:name="_Toc211964216"/>
      <w:r w:rsidRPr="00272598">
        <w:rPr>
          <w:rFonts w:ascii="Times New Roman" w:hAnsi="Times New Roman" w:cs="Times New Roman"/>
          <w:b/>
          <w:bCs/>
          <w:color w:val="auto"/>
          <w:sz w:val="24"/>
          <w:szCs w:val="24"/>
        </w:rPr>
        <w:t>Impact of Digital Disruption on TTL's Business Model</w:t>
      </w:r>
      <w:bookmarkEnd w:id="9"/>
    </w:p>
    <w:p w:rsidR="00272598" w:rsidRPr="00272598" w:rsidRDefault="00272598" w:rsidP="00272598">
      <w:pPr>
        <w:spacing w:after="0" w:line="360" w:lineRule="auto"/>
        <w:jc w:val="both"/>
        <w:rPr>
          <w:rFonts w:ascii="Times New Roman" w:hAnsi="Times New Roman" w:cs="Times New Roman"/>
          <w:sz w:val="24"/>
          <w:szCs w:val="24"/>
        </w:rPr>
      </w:pPr>
      <w:r w:rsidRPr="00272598">
        <w:rPr>
          <w:rFonts w:ascii="Times New Roman" w:hAnsi="Times New Roman" w:cs="Times New Roman"/>
          <w:sz w:val="24"/>
          <w:szCs w:val="24"/>
        </w:rPr>
        <w:t>Touchend Transnational Logistics PLC is geographically dispersed across multiple countries with a complex supply chain that has numerous suppliers, customers, and regulatory environments. Under dynamic customer expectations, TTL needs to provide better delivery speed, better cost management, and end-to-end visibility of goods in the logistics pipeline. Digital disruption provides the systems and tools to manage these challenges in an effective manner.</w:t>
      </w:r>
    </w:p>
    <w:p w:rsidR="00272598" w:rsidRPr="00272598" w:rsidRDefault="00272598" w:rsidP="00272598">
      <w:pPr>
        <w:spacing w:after="0" w:line="360" w:lineRule="auto"/>
        <w:jc w:val="both"/>
        <w:rPr>
          <w:rFonts w:ascii="Times New Roman" w:hAnsi="Times New Roman" w:cs="Times New Roman"/>
          <w:sz w:val="24"/>
          <w:szCs w:val="24"/>
        </w:rPr>
      </w:pPr>
      <w:r w:rsidRPr="00272598">
        <w:rPr>
          <w:rFonts w:ascii="Times New Roman" w:hAnsi="Times New Roman" w:cs="Times New Roman"/>
          <w:sz w:val="24"/>
          <w:szCs w:val="24"/>
        </w:rPr>
        <w:t>For instance, digital technologies can help TTL in fuel savings and route optimization based on real-time traffic and weather conditions. IoT sensors that have the capability to monitor goods from point of origin to consumption point can help bring more transparency and accountability. Warehouse automation can help bring more accuracy in inventory management and reduce delays in operations. Digital communication tools can eliminate time zone and cultural barriers to help deliver seamless coordination between teams and customers across the world.</w:t>
      </w:r>
      <w:sdt>
        <w:sdtPr>
          <w:rPr>
            <w:rFonts w:ascii="Times New Roman" w:hAnsi="Times New Roman" w:cs="Times New Roman"/>
            <w:sz w:val="24"/>
            <w:szCs w:val="24"/>
          </w:rPr>
          <w:id w:val="741450621"/>
          <w:citation/>
        </w:sdtPr>
        <w:sdtEndPr/>
        <w:sdtContent>
          <w:r w:rsidR="00864266">
            <w:rPr>
              <w:rFonts w:ascii="Times New Roman" w:hAnsi="Times New Roman" w:cs="Times New Roman"/>
              <w:sz w:val="24"/>
              <w:szCs w:val="24"/>
            </w:rPr>
            <w:fldChar w:fldCharType="begin"/>
          </w:r>
          <w:r w:rsidR="007B3201">
            <w:rPr>
              <w:rFonts w:ascii="Times New Roman" w:hAnsi="Times New Roman" w:cs="Times New Roman"/>
              <w:sz w:val="24"/>
              <w:szCs w:val="24"/>
            </w:rPr>
            <w:instrText xml:space="preserve">CITATION htt \l 1033 </w:instrText>
          </w:r>
          <w:r w:rsidR="00864266">
            <w:rPr>
              <w:rFonts w:ascii="Times New Roman" w:hAnsi="Times New Roman" w:cs="Times New Roman"/>
              <w:sz w:val="24"/>
              <w:szCs w:val="24"/>
            </w:rPr>
            <w:fldChar w:fldCharType="separate"/>
          </w:r>
          <w:r w:rsidR="007B3201">
            <w:rPr>
              <w:rFonts w:ascii="Times New Roman" w:hAnsi="Times New Roman" w:cs="Times New Roman"/>
              <w:noProof/>
              <w:sz w:val="24"/>
              <w:szCs w:val="24"/>
            </w:rPr>
            <w:t xml:space="preserve"> </w:t>
          </w:r>
          <w:r w:rsidR="007B3201" w:rsidRPr="007B3201">
            <w:rPr>
              <w:rFonts w:ascii="Times New Roman" w:hAnsi="Times New Roman" w:cs="Times New Roman"/>
              <w:noProof/>
              <w:sz w:val="24"/>
              <w:szCs w:val="24"/>
            </w:rPr>
            <w:t>(Edirimuni, 2025)</w:t>
          </w:r>
          <w:r w:rsidR="00864266">
            <w:rPr>
              <w:rFonts w:ascii="Times New Roman" w:hAnsi="Times New Roman" w:cs="Times New Roman"/>
              <w:sz w:val="24"/>
              <w:szCs w:val="24"/>
            </w:rPr>
            <w:fldChar w:fldCharType="end"/>
          </w:r>
        </w:sdtContent>
      </w:sdt>
    </w:p>
    <w:p w:rsidR="00272598" w:rsidRPr="00C06665" w:rsidRDefault="00272598" w:rsidP="00C06665">
      <w:pPr>
        <w:pStyle w:val="Heading2"/>
        <w:spacing w:before="0" w:line="360" w:lineRule="auto"/>
        <w:rPr>
          <w:rFonts w:ascii="Times New Roman" w:hAnsi="Times New Roman" w:cs="Times New Roman"/>
          <w:b/>
          <w:bCs/>
          <w:color w:val="auto"/>
          <w:sz w:val="24"/>
          <w:szCs w:val="24"/>
        </w:rPr>
      </w:pPr>
      <w:bookmarkStart w:id="10" w:name="_Toc211964217"/>
      <w:r w:rsidRPr="00C06665">
        <w:rPr>
          <w:rFonts w:ascii="Times New Roman" w:hAnsi="Times New Roman" w:cs="Times New Roman"/>
          <w:b/>
          <w:bCs/>
          <w:color w:val="auto"/>
          <w:sz w:val="24"/>
          <w:szCs w:val="24"/>
        </w:rPr>
        <w:t xml:space="preserve">Strategic </w:t>
      </w:r>
      <w:r w:rsidR="00C06665" w:rsidRPr="00C06665">
        <w:rPr>
          <w:rFonts w:ascii="Times New Roman" w:hAnsi="Times New Roman" w:cs="Times New Roman"/>
          <w:b/>
          <w:bCs/>
          <w:color w:val="auto"/>
          <w:sz w:val="24"/>
          <w:szCs w:val="24"/>
        </w:rPr>
        <w:t xml:space="preserve">advantages of digital transformation for </w:t>
      </w:r>
      <w:r w:rsidRPr="00C06665">
        <w:rPr>
          <w:rFonts w:ascii="Times New Roman" w:hAnsi="Times New Roman" w:cs="Times New Roman"/>
          <w:b/>
          <w:bCs/>
          <w:color w:val="auto"/>
          <w:sz w:val="24"/>
          <w:szCs w:val="24"/>
        </w:rPr>
        <w:t>TTL</w:t>
      </w:r>
      <w:bookmarkEnd w:id="10"/>
    </w:p>
    <w:p w:rsidR="00272598" w:rsidRPr="00272598" w:rsidRDefault="00272598" w:rsidP="00272598">
      <w:pPr>
        <w:spacing w:after="0" w:line="360" w:lineRule="auto"/>
        <w:jc w:val="both"/>
        <w:rPr>
          <w:rFonts w:ascii="Times New Roman" w:hAnsi="Times New Roman" w:cs="Times New Roman"/>
          <w:sz w:val="24"/>
          <w:szCs w:val="24"/>
        </w:rPr>
      </w:pPr>
      <w:r w:rsidRPr="00272598">
        <w:rPr>
          <w:rFonts w:ascii="Times New Roman" w:hAnsi="Times New Roman" w:cs="Times New Roman"/>
          <w:sz w:val="24"/>
          <w:szCs w:val="24"/>
        </w:rPr>
        <w:t>Digital transformation can be the backbone of TTL's global expansion strategy. Digitization allows TTL to mechanize processes, improve decision-making, and develop new markets more effectively. Data analysis can guide strategic investments, identify emerging opportunities, and predict new logistics trends. This allows TTL to stay ahead of competition and reduce risks of market fluctuation or supply chain disruption.</w:t>
      </w:r>
    </w:p>
    <w:p w:rsidR="00272598" w:rsidRPr="00272598" w:rsidRDefault="00272598" w:rsidP="00272598">
      <w:pPr>
        <w:spacing w:after="0" w:line="360" w:lineRule="auto"/>
        <w:jc w:val="both"/>
        <w:rPr>
          <w:rFonts w:ascii="Times New Roman" w:hAnsi="Times New Roman" w:cs="Times New Roman"/>
          <w:sz w:val="24"/>
          <w:szCs w:val="24"/>
        </w:rPr>
      </w:pPr>
      <w:r w:rsidRPr="00272598">
        <w:rPr>
          <w:rFonts w:ascii="Times New Roman" w:hAnsi="Times New Roman" w:cs="Times New Roman"/>
          <w:sz w:val="24"/>
          <w:szCs w:val="24"/>
        </w:rPr>
        <w:t xml:space="preserve">Besides, digital transformation encourages innovation in the firm. Digital transformation enables TTL to create new business models, such as online logistic </w:t>
      </w:r>
      <w:r w:rsidRPr="00272598">
        <w:rPr>
          <w:rFonts w:ascii="Times New Roman" w:hAnsi="Times New Roman" w:cs="Times New Roman"/>
          <w:sz w:val="24"/>
          <w:szCs w:val="24"/>
        </w:rPr>
        <w:lastRenderedPageBreak/>
        <w:t>centers or customer self-service websites that can generate extra revenues. By digitizing documents and using block chain technology, TTL is able to reduce cross-border payment durations and increase trust among international partners.</w:t>
      </w:r>
    </w:p>
    <w:p w:rsidR="00272598" w:rsidRPr="00C06665" w:rsidRDefault="00272598" w:rsidP="00C06665">
      <w:pPr>
        <w:pStyle w:val="Heading2"/>
        <w:spacing w:before="0" w:line="360" w:lineRule="auto"/>
        <w:rPr>
          <w:rFonts w:ascii="Times New Roman" w:hAnsi="Times New Roman" w:cs="Times New Roman"/>
          <w:b/>
          <w:bCs/>
          <w:color w:val="auto"/>
          <w:sz w:val="24"/>
          <w:szCs w:val="24"/>
        </w:rPr>
      </w:pPr>
      <w:bookmarkStart w:id="11" w:name="_Toc211964218"/>
      <w:r w:rsidRPr="00C06665">
        <w:rPr>
          <w:rFonts w:ascii="Times New Roman" w:hAnsi="Times New Roman" w:cs="Times New Roman"/>
          <w:b/>
          <w:bCs/>
          <w:color w:val="auto"/>
          <w:sz w:val="24"/>
          <w:szCs w:val="24"/>
        </w:rPr>
        <w:t xml:space="preserve">The </w:t>
      </w:r>
      <w:r w:rsidR="00C06665" w:rsidRPr="00C06665">
        <w:rPr>
          <w:rFonts w:ascii="Times New Roman" w:hAnsi="Times New Roman" w:cs="Times New Roman"/>
          <w:b/>
          <w:bCs/>
          <w:color w:val="auto"/>
          <w:sz w:val="24"/>
          <w:szCs w:val="24"/>
        </w:rPr>
        <w:t>role of people and organizational culture</w:t>
      </w:r>
      <w:bookmarkEnd w:id="11"/>
    </w:p>
    <w:p w:rsidR="00272598" w:rsidRPr="00272598" w:rsidRDefault="00272598" w:rsidP="00272598">
      <w:pPr>
        <w:spacing w:after="0" w:line="360" w:lineRule="auto"/>
        <w:jc w:val="both"/>
        <w:rPr>
          <w:rFonts w:ascii="Times New Roman" w:hAnsi="Times New Roman" w:cs="Times New Roman"/>
          <w:sz w:val="24"/>
          <w:szCs w:val="24"/>
        </w:rPr>
      </w:pPr>
      <w:r w:rsidRPr="00272598">
        <w:rPr>
          <w:rFonts w:ascii="Times New Roman" w:hAnsi="Times New Roman" w:cs="Times New Roman"/>
          <w:sz w:val="24"/>
          <w:szCs w:val="24"/>
        </w:rPr>
        <w:t>While technology is the center of digital transformation, it thrives due to individuals. TTL's employees must adapt to digital systems, think creatively, and be quick responders in changing circumstances. HR professionals play a key role in developing a transformation-fit workforce by continuous training and engagement. Learning, collaborative, and experimentation-based culture will make TTL agile and innovative during transformation.</w:t>
      </w:r>
    </w:p>
    <w:p w:rsidR="00272598" w:rsidRPr="00C06665" w:rsidRDefault="00272598" w:rsidP="00C06665">
      <w:pPr>
        <w:pStyle w:val="Heading2"/>
        <w:spacing w:before="0" w:line="360" w:lineRule="auto"/>
        <w:rPr>
          <w:rFonts w:ascii="Times New Roman" w:hAnsi="Times New Roman" w:cs="Times New Roman"/>
          <w:b/>
          <w:bCs/>
          <w:color w:val="auto"/>
          <w:sz w:val="24"/>
          <w:szCs w:val="24"/>
        </w:rPr>
      </w:pPr>
      <w:bookmarkStart w:id="12" w:name="_Toc211964219"/>
      <w:r w:rsidRPr="00C06665">
        <w:rPr>
          <w:rFonts w:ascii="Times New Roman" w:hAnsi="Times New Roman" w:cs="Times New Roman"/>
          <w:b/>
          <w:bCs/>
          <w:color w:val="auto"/>
          <w:sz w:val="24"/>
          <w:szCs w:val="24"/>
        </w:rPr>
        <w:t>Conclusion</w:t>
      </w:r>
      <w:bookmarkEnd w:id="12"/>
    </w:p>
    <w:p w:rsidR="00C06665" w:rsidRDefault="00272598" w:rsidP="00272598">
      <w:pPr>
        <w:spacing w:after="0" w:line="360" w:lineRule="auto"/>
        <w:jc w:val="both"/>
        <w:rPr>
          <w:rFonts w:ascii="Times New Roman" w:hAnsi="Times New Roman" w:cs="Times New Roman"/>
          <w:sz w:val="24"/>
          <w:szCs w:val="24"/>
        </w:rPr>
      </w:pPr>
      <w:r w:rsidRPr="00272598">
        <w:rPr>
          <w:rFonts w:ascii="Times New Roman" w:hAnsi="Times New Roman" w:cs="Times New Roman"/>
          <w:sz w:val="24"/>
          <w:szCs w:val="24"/>
        </w:rPr>
        <w:t>Digital disruption and transformation are remaking industries across the globe, and for TTL, they provide the path to future growth. By integrating digital tools into every facet of its business, TTL can fuel acceleration, cost reduction, and transparency—the three most critical needs of its buyers. But more importantly, digital transformation will allow TTL to be a dynamic, data-driven logistics giant that can perform effectively in today's fast-evolving global economy.</w:t>
      </w:r>
      <w:sdt>
        <w:sdtPr>
          <w:rPr>
            <w:rFonts w:ascii="Times New Roman" w:hAnsi="Times New Roman" w:cs="Times New Roman"/>
            <w:sz w:val="24"/>
            <w:szCs w:val="24"/>
          </w:rPr>
          <w:id w:val="29002102"/>
          <w:citation/>
        </w:sdtPr>
        <w:sdtContent>
          <w:r w:rsidR="007B3201">
            <w:rPr>
              <w:rFonts w:ascii="Times New Roman" w:hAnsi="Times New Roman" w:cs="Times New Roman"/>
              <w:sz w:val="24"/>
              <w:szCs w:val="24"/>
            </w:rPr>
            <w:fldChar w:fldCharType="begin"/>
          </w:r>
          <w:r w:rsidR="007B3201">
            <w:rPr>
              <w:rFonts w:ascii="Times New Roman" w:hAnsi="Times New Roman" w:cs="Times New Roman"/>
              <w:sz w:val="24"/>
              <w:szCs w:val="24"/>
            </w:rPr>
            <w:instrText xml:space="preserve"> CITATION Sak25 \l 1033 </w:instrText>
          </w:r>
          <w:r w:rsidR="007B3201">
            <w:rPr>
              <w:rFonts w:ascii="Times New Roman" w:hAnsi="Times New Roman" w:cs="Times New Roman"/>
              <w:sz w:val="24"/>
              <w:szCs w:val="24"/>
            </w:rPr>
            <w:fldChar w:fldCharType="separate"/>
          </w:r>
          <w:r w:rsidR="007B3201">
            <w:rPr>
              <w:rFonts w:ascii="Times New Roman" w:hAnsi="Times New Roman" w:cs="Times New Roman"/>
              <w:noProof/>
              <w:sz w:val="24"/>
              <w:szCs w:val="24"/>
            </w:rPr>
            <w:t xml:space="preserve"> </w:t>
          </w:r>
          <w:r w:rsidR="007B3201" w:rsidRPr="007B3201">
            <w:rPr>
              <w:rFonts w:ascii="Times New Roman" w:hAnsi="Times New Roman" w:cs="Times New Roman"/>
              <w:noProof/>
              <w:sz w:val="24"/>
              <w:szCs w:val="24"/>
            </w:rPr>
            <w:t>(Sakuni, 2025)</w:t>
          </w:r>
          <w:r w:rsidR="007B3201">
            <w:rPr>
              <w:rFonts w:ascii="Times New Roman" w:hAnsi="Times New Roman" w:cs="Times New Roman"/>
              <w:sz w:val="24"/>
              <w:szCs w:val="24"/>
            </w:rPr>
            <w:fldChar w:fldCharType="end"/>
          </w:r>
        </w:sdtContent>
      </w:sdt>
    </w:p>
    <w:p w:rsidR="00C06665" w:rsidRDefault="00C06665" w:rsidP="00C06665">
      <w:r>
        <w:br w:type="page"/>
      </w:r>
    </w:p>
    <w:p w:rsidR="00272598" w:rsidRPr="00520780" w:rsidRDefault="00C06665" w:rsidP="00520780">
      <w:pPr>
        <w:pStyle w:val="Heading1"/>
        <w:spacing w:before="0" w:line="360" w:lineRule="auto"/>
        <w:jc w:val="center"/>
        <w:rPr>
          <w:rFonts w:ascii="Times New Roman" w:hAnsi="Times New Roman" w:cs="Times New Roman"/>
          <w:b/>
          <w:bCs/>
          <w:color w:val="auto"/>
          <w:sz w:val="24"/>
          <w:szCs w:val="24"/>
        </w:rPr>
      </w:pPr>
      <w:bookmarkStart w:id="13" w:name="_Toc211964220"/>
      <w:r w:rsidRPr="00520780">
        <w:rPr>
          <w:rFonts w:ascii="Times New Roman" w:hAnsi="Times New Roman" w:cs="Times New Roman"/>
          <w:b/>
          <w:bCs/>
          <w:color w:val="auto"/>
          <w:sz w:val="24"/>
          <w:szCs w:val="24"/>
        </w:rPr>
        <w:lastRenderedPageBreak/>
        <w:t>Question 3</w:t>
      </w:r>
      <w:bookmarkEnd w:id="13"/>
    </w:p>
    <w:p w:rsidR="00520780" w:rsidRPr="00520780" w:rsidRDefault="00520780" w:rsidP="00520780">
      <w:pPr>
        <w:pStyle w:val="Heading2"/>
        <w:spacing w:before="0" w:line="360" w:lineRule="auto"/>
        <w:rPr>
          <w:rFonts w:ascii="Times New Roman" w:hAnsi="Times New Roman" w:cs="Times New Roman"/>
          <w:b/>
          <w:bCs/>
          <w:color w:val="auto"/>
          <w:sz w:val="24"/>
          <w:szCs w:val="24"/>
        </w:rPr>
      </w:pPr>
      <w:bookmarkStart w:id="14" w:name="_Toc211964221"/>
      <w:r w:rsidRPr="00520780">
        <w:rPr>
          <w:rFonts w:ascii="Times New Roman" w:hAnsi="Times New Roman" w:cs="Times New Roman"/>
          <w:b/>
          <w:bCs/>
          <w:color w:val="auto"/>
          <w:sz w:val="24"/>
          <w:szCs w:val="24"/>
        </w:rPr>
        <w:t>Understanding HR analytics and the data-driven strategy</w:t>
      </w:r>
      <w:bookmarkEnd w:id="14"/>
    </w:p>
    <w:p w:rsidR="00520780" w:rsidRPr="00520780" w:rsidRDefault="00520780" w:rsidP="00520780">
      <w:pPr>
        <w:spacing w:after="0" w:line="360" w:lineRule="auto"/>
        <w:jc w:val="both"/>
        <w:rPr>
          <w:rFonts w:ascii="Times New Roman" w:hAnsi="Times New Roman" w:cs="Times New Roman"/>
          <w:sz w:val="24"/>
          <w:szCs w:val="24"/>
        </w:rPr>
      </w:pPr>
      <w:r w:rsidRPr="00520780">
        <w:rPr>
          <w:rFonts w:ascii="Times New Roman" w:hAnsi="Times New Roman" w:cs="Times New Roman"/>
          <w:sz w:val="24"/>
          <w:szCs w:val="24"/>
        </w:rPr>
        <w:t>HR analytics is the practice of collecting, analyzing, and interpreting organizational and employee data to inform better decision-making and performance improvement. It helps HR professionals move beyond intuition and make decisions grounded in measurable facts. A data-driven strategy means using factual insights to make recruitment, retention, training, compensation, and workforce planning strategies. For a transnational logistics company like Touchend Transnational Logistics PLC (TTL), whose operations are spread across several nations, this approach is critical to attaining conformity, efficiency, and competitiveness.</w:t>
      </w:r>
    </w:p>
    <w:p w:rsidR="00520780" w:rsidRPr="00520780" w:rsidRDefault="00520780" w:rsidP="00520780">
      <w:pPr>
        <w:spacing w:after="0" w:line="360" w:lineRule="auto"/>
        <w:jc w:val="both"/>
        <w:rPr>
          <w:rFonts w:ascii="Times New Roman" w:hAnsi="Times New Roman" w:cs="Times New Roman"/>
          <w:sz w:val="24"/>
          <w:szCs w:val="24"/>
        </w:rPr>
      </w:pPr>
      <w:r w:rsidRPr="00520780">
        <w:rPr>
          <w:rFonts w:ascii="Times New Roman" w:hAnsi="Times New Roman" w:cs="Times New Roman"/>
          <w:sz w:val="24"/>
          <w:szCs w:val="24"/>
        </w:rPr>
        <w:t>Logistics relies on coordination, efficiency, and accuracy. HR analytics, therefore, helps TTL to generate performance gaps, reduce labor expenses, and promote employee engagement. It points human capital decisions towards the company's strategic objectives—speed, cost reduction, and visibility—and places workforce performance directly into organizational achievement.</w:t>
      </w:r>
      <w:sdt>
        <w:sdtPr>
          <w:rPr>
            <w:rFonts w:ascii="Times New Roman" w:hAnsi="Times New Roman" w:cs="Times New Roman"/>
            <w:sz w:val="24"/>
            <w:szCs w:val="24"/>
          </w:rPr>
          <w:id w:val="-1029563560"/>
          <w:citation/>
        </w:sdtPr>
        <w:sdtContent>
          <w:r w:rsidR="007B3201">
            <w:rPr>
              <w:rFonts w:ascii="Times New Roman" w:hAnsi="Times New Roman" w:cs="Times New Roman"/>
              <w:sz w:val="24"/>
              <w:szCs w:val="24"/>
            </w:rPr>
            <w:fldChar w:fldCharType="begin"/>
          </w:r>
          <w:r w:rsidR="007B3201">
            <w:rPr>
              <w:rFonts w:ascii="Times New Roman" w:hAnsi="Times New Roman" w:cs="Times New Roman"/>
              <w:sz w:val="24"/>
              <w:szCs w:val="24"/>
            </w:rPr>
            <w:instrText xml:space="preserve"> CITATION DrA25 \l 1033 </w:instrText>
          </w:r>
          <w:r w:rsidR="007B3201">
            <w:rPr>
              <w:rFonts w:ascii="Times New Roman" w:hAnsi="Times New Roman" w:cs="Times New Roman"/>
              <w:sz w:val="24"/>
              <w:szCs w:val="24"/>
            </w:rPr>
            <w:fldChar w:fldCharType="separate"/>
          </w:r>
          <w:r w:rsidR="007B3201">
            <w:rPr>
              <w:rFonts w:ascii="Times New Roman" w:hAnsi="Times New Roman" w:cs="Times New Roman"/>
              <w:noProof/>
              <w:sz w:val="24"/>
              <w:szCs w:val="24"/>
            </w:rPr>
            <w:t xml:space="preserve"> </w:t>
          </w:r>
          <w:r w:rsidR="007B3201" w:rsidRPr="007B3201">
            <w:rPr>
              <w:rFonts w:ascii="Times New Roman" w:hAnsi="Times New Roman" w:cs="Times New Roman"/>
              <w:noProof/>
              <w:sz w:val="24"/>
              <w:szCs w:val="24"/>
            </w:rPr>
            <w:t>(Madhuri, 2025)</w:t>
          </w:r>
          <w:r w:rsidR="007B3201">
            <w:rPr>
              <w:rFonts w:ascii="Times New Roman" w:hAnsi="Times New Roman" w:cs="Times New Roman"/>
              <w:sz w:val="24"/>
              <w:szCs w:val="24"/>
            </w:rPr>
            <w:fldChar w:fldCharType="end"/>
          </w:r>
        </w:sdtContent>
      </w:sdt>
    </w:p>
    <w:p w:rsidR="00520780" w:rsidRPr="00520780" w:rsidRDefault="00520780" w:rsidP="00520780">
      <w:pPr>
        <w:pStyle w:val="Heading2"/>
        <w:spacing w:before="0" w:line="360" w:lineRule="auto"/>
        <w:rPr>
          <w:rFonts w:ascii="Times New Roman" w:hAnsi="Times New Roman" w:cs="Times New Roman"/>
          <w:b/>
          <w:bCs/>
          <w:color w:val="auto"/>
          <w:sz w:val="24"/>
          <w:szCs w:val="24"/>
        </w:rPr>
      </w:pPr>
      <w:bookmarkStart w:id="15" w:name="_Toc211964222"/>
      <w:r w:rsidRPr="00520780">
        <w:rPr>
          <w:rFonts w:ascii="Times New Roman" w:hAnsi="Times New Roman" w:cs="Times New Roman"/>
          <w:b/>
          <w:bCs/>
          <w:color w:val="auto"/>
          <w:sz w:val="24"/>
          <w:szCs w:val="24"/>
        </w:rPr>
        <w:t>Porter's value chain model and its relevance to TTL</w:t>
      </w:r>
      <w:bookmarkEnd w:id="15"/>
    </w:p>
    <w:p w:rsidR="00520780" w:rsidRPr="00520780" w:rsidRDefault="00520780" w:rsidP="00520780">
      <w:pPr>
        <w:spacing w:after="0" w:line="360" w:lineRule="auto"/>
        <w:jc w:val="both"/>
        <w:rPr>
          <w:rFonts w:ascii="Times New Roman" w:hAnsi="Times New Roman" w:cs="Times New Roman"/>
          <w:sz w:val="24"/>
          <w:szCs w:val="24"/>
        </w:rPr>
      </w:pPr>
      <w:r w:rsidRPr="00520780">
        <w:rPr>
          <w:rFonts w:ascii="Times New Roman" w:hAnsi="Times New Roman" w:cs="Times New Roman"/>
          <w:sz w:val="24"/>
          <w:szCs w:val="24"/>
        </w:rPr>
        <w:t>Michael Porter Value Chain Model breaks down an organization's activity into primary and support activities that contribute to value generation for customers. Primary activities include inbound logistics, operations, outbound logistics, marketing and sales, and service. Support activities include firm infrastructure, human resource management, technology development, and procurement.</w:t>
      </w:r>
    </w:p>
    <w:p w:rsidR="00520780" w:rsidRPr="00520780" w:rsidRDefault="00520780" w:rsidP="00520780">
      <w:pPr>
        <w:spacing w:after="0" w:line="360" w:lineRule="auto"/>
        <w:jc w:val="both"/>
        <w:rPr>
          <w:rFonts w:ascii="Times New Roman" w:hAnsi="Times New Roman" w:cs="Times New Roman"/>
          <w:sz w:val="24"/>
          <w:szCs w:val="24"/>
        </w:rPr>
      </w:pPr>
      <w:r w:rsidRPr="00520780">
        <w:rPr>
          <w:rFonts w:ascii="Times New Roman" w:hAnsi="Times New Roman" w:cs="Times New Roman"/>
          <w:sz w:val="24"/>
          <w:szCs w:val="24"/>
        </w:rPr>
        <w:t>In the case of TTL, the value chain extends through its global network of logistics. HR analytics can enhance each of these links in this chain by enhancing the interaction between individuals and processes. In inbound logistics and outbound logistics, HR information can identify labor shortages or cargo handling and transportation scheduling inefficiencies. Predictive analytics can forecast peak periods of demand to allow managers to schedule staff accordingly. In operations, HR analytics can monitor productivity in facilities to ensure training and performance management systems are aligned with target output.</w:t>
      </w:r>
    </w:p>
    <w:p w:rsidR="00C06665" w:rsidRDefault="00520780" w:rsidP="00520780">
      <w:pPr>
        <w:spacing w:after="0" w:line="360" w:lineRule="auto"/>
        <w:jc w:val="both"/>
        <w:rPr>
          <w:rFonts w:ascii="Times New Roman" w:hAnsi="Times New Roman" w:cs="Times New Roman"/>
          <w:sz w:val="24"/>
          <w:szCs w:val="24"/>
        </w:rPr>
      </w:pPr>
      <w:r w:rsidRPr="00520780">
        <w:rPr>
          <w:rFonts w:ascii="Times New Roman" w:hAnsi="Times New Roman" w:cs="Times New Roman"/>
          <w:sz w:val="24"/>
          <w:szCs w:val="24"/>
        </w:rPr>
        <w:t xml:space="preserve">HR analytics under technology development provides insights into gaps in skills in technologies such as GPS systems, automated warehousing or storage, or AI-based route management. This allows HR teams to develop targeted learning modules for Industry 4.0 readiness of the workforce. In marketing and customer service, analysis </w:t>
      </w:r>
      <w:r w:rsidRPr="00520780">
        <w:rPr>
          <w:rFonts w:ascii="Times New Roman" w:hAnsi="Times New Roman" w:cs="Times New Roman"/>
          <w:sz w:val="24"/>
          <w:szCs w:val="24"/>
        </w:rPr>
        <w:lastRenderedPageBreak/>
        <w:t>can assess the extent to which front-line employees interact with customers, resulting in building brand loyalty and customer satisfaction.</w:t>
      </w:r>
    </w:p>
    <w:p w:rsidR="002B53FE" w:rsidRPr="002B53FE" w:rsidRDefault="002B53FE" w:rsidP="002B53FE">
      <w:pPr>
        <w:pStyle w:val="Heading2"/>
        <w:spacing w:before="0" w:line="360" w:lineRule="auto"/>
        <w:rPr>
          <w:rFonts w:ascii="Times New Roman" w:hAnsi="Times New Roman" w:cs="Times New Roman"/>
          <w:b/>
          <w:bCs/>
          <w:color w:val="auto"/>
          <w:sz w:val="24"/>
          <w:szCs w:val="24"/>
        </w:rPr>
      </w:pPr>
      <w:bookmarkStart w:id="16" w:name="_Toc211964223"/>
      <w:r w:rsidRPr="002B53FE">
        <w:rPr>
          <w:rFonts w:ascii="Times New Roman" w:hAnsi="Times New Roman" w:cs="Times New Roman"/>
          <w:b/>
          <w:bCs/>
          <w:color w:val="auto"/>
          <w:sz w:val="24"/>
          <w:szCs w:val="24"/>
        </w:rPr>
        <w:t>HR strategic role in utilizing analytics in TTL</w:t>
      </w:r>
      <w:bookmarkEnd w:id="16"/>
    </w:p>
    <w:p w:rsidR="002B53FE" w:rsidRPr="002B53FE" w:rsidRDefault="002B53FE" w:rsidP="002B53FE">
      <w:pPr>
        <w:spacing w:after="0" w:line="360" w:lineRule="auto"/>
        <w:jc w:val="both"/>
        <w:rPr>
          <w:rFonts w:ascii="Times New Roman" w:hAnsi="Times New Roman" w:cs="Times New Roman"/>
          <w:sz w:val="24"/>
          <w:szCs w:val="24"/>
        </w:rPr>
      </w:pPr>
      <w:r w:rsidRPr="002B53FE">
        <w:rPr>
          <w:rFonts w:ascii="Times New Roman" w:hAnsi="Times New Roman" w:cs="Times New Roman"/>
          <w:sz w:val="24"/>
          <w:szCs w:val="24"/>
        </w:rPr>
        <w:t>The role of HR professionals at TTL is not only to handle individuals but also to shape data-driven decisions that create improved business outcomes. Through HR analytics, HR can identify top-performing workers, predict turnover risk, and organize retention strategies that eliminate recruiting costs. HR can also efficiently communicate workforce trends to the management using data visualization tools.</w:t>
      </w:r>
    </w:p>
    <w:p w:rsidR="002B53FE" w:rsidRPr="002B53FE" w:rsidRDefault="002B53FE" w:rsidP="002B53FE">
      <w:pPr>
        <w:spacing w:after="0" w:line="360" w:lineRule="auto"/>
        <w:jc w:val="both"/>
        <w:rPr>
          <w:rFonts w:ascii="Times New Roman" w:hAnsi="Times New Roman" w:cs="Times New Roman"/>
          <w:sz w:val="24"/>
          <w:szCs w:val="24"/>
        </w:rPr>
      </w:pPr>
      <w:r w:rsidRPr="002B53FE">
        <w:rPr>
          <w:rFonts w:ascii="Times New Roman" w:hAnsi="Times New Roman" w:cs="Times New Roman"/>
          <w:sz w:val="24"/>
          <w:szCs w:val="24"/>
        </w:rPr>
        <w:t>Additionally, HR analytics supports TTL's growth plan across the globe. By comparing data from various locations, HR can determine where markets are best suited with productivity ratios or sets of skills. Analytics can be utilized to make the decision of where to establish new units or where recruitment needs to be focused. Analytics also assists in measuring diversity and inclusion efforts, with the hopes that TTL would benefit from unique ideas and talents within its multicultural workforce.</w:t>
      </w:r>
    </w:p>
    <w:p w:rsidR="002B53FE" w:rsidRPr="002B53FE" w:rsidRDefault="002B53FE" w:rsidP="002B53FE">
      <w:pPr>
        <w:spacing w:after="0" w:line="360" w:lineRule="auto"/>
        <w:jc w:val="both"/>
        <w:rPr>
          <w:rFonts w:ascii="Times New Roman" w:hAnsi="Times New Roman" w:cs="Times New Roman"/>
          <w:sz w:val="24"/>
          <w:szCs w:val="24"/>
        </w:rPr>
      </w:pPr>
      <w:r w:rsidRPr="002B53FE">
        <w:rPr>
          <w:rFonts w:ascii="Times New Roman" w:hAnsi="Times New Roman" w:cs="Times New Roman"/>
          <w:sz w:val="24"/>
          <w:szCs w:val="24"/>
        </w:rPr>
        <w:t>HR practitioners will also need to maintain data privacy and integrity in the process. Ethical data usage builds employee trust as well as strengthens TTL's corporate image as a socially accountable global employer. HR should facilitate the creation of data-literate culture where managers and employees know how analytics helps improve decisions.</w:t>
      </w:r>
    </w:p>
    <w:p w:rsidR="002B53FE" w:rsidRPr="002B53FE" w:rsidRDefault="002B53FE" w:rsidP="002B53FE">
      <w:pPr>
        <w:pStyle w:val="Heading2"/>
        <w:spacing w:before="0" w:line="360" w:lineRule="auto"/>
        <w:rPr>
          <w:rFonts w:ascii="Times New Roman" w:hAnsi="Times New Roman" w:cs="Times New Roman"/>
          <w:b/>
          <w:bCs/>
          <w:color w:val="auto"/>
          <w:sz w:val="24"/>
          <w:szCs w:val="24"/>
        </w:rPr>
      </w:pPr>
      <w:bookmarkStart w:id="17" w:name="_Toc211964224"/>
      <w:r w:rsidRPr="002B53FE">
        <w:rPr>
          <w:rFonts w:ascii="Times New Roman" w:hAnsi="Times New Roman" w:cs="Times New Roman"/>
          <w:b/>
          <w:bCs/>
          <w:color w:val="auto"/>
          <w:sz w:val="24"/>
          <w:szCs w:val="24"/>
        </w:rPr>
        <w:t>Conclusion</w:t>
      </w:r>
      <w:bookmarkEnd w:id="17"/>
    </w:p>
    <w:p w:rsidR="00F03CB6" w:rsidRDefault="002B53FE" w:rsidP="002B53FE">
      <w:pPr>
        <w:spacing w:after="0" w:line="360" w:lineRule="auto"/>
        <w:jc w:val="both"/>
        <w:rPr>
          <w:rFonts w:ascii="Times New Roman" w:hAnsi="Times New Roman" w:cs="Times New Roman"/>
          <w:sz w:val="24"/>
          <w:szCs w:val="24"/>
        </w:rPr>
      </w:pPr>
      <w:r w:rsidRPr="002B53FE">
        <w:rPr>
          <w:rFonts w:ascii="Times New Roman" w:hAnsi="Times New Roman" w:cs="Times New Roman"/>
          <w:sz w:val="24"/>
          <w:szCs w:val="24"/>
        </w:rPr>
        <w:t>A data-driven HR analytics approach enables TTL to optimize its human capital with accuracy and knowledge. Through Porter's Value Chain Model, TTL can infuse every function with HR analytics such that people and processes both contribute to value creation. Such thinking allows the organization to future-proof itself against challenges, improve efficiency, and sustain global growth. Lastly, HR analytics helps TTL make superior, faster, and more strategic decisions—stretching beyond human resources as an operational function to become a competitive advantage in the global logistics industry.</w:t>
      </w:r>
      <w:sdt>
        <w:sdtPr>
          <w:rPr>
            <w:rFonts w:ascii="Times New Roman" w:hAnsi="Times New Roman" w:cs="Times New Roman"/>
            <w:sz w:val="24"/>
            <w:szCs w:val="24"/>
          </w:rPr>
          <w:id w:val="758025519"/>
          <w:citation/>
        </w:sdtPr>
        <w:sdtContent>
          <w:r w:rsidR="007B3201">
            <w:rPr>
              <w:rFonts w:ascii="Times New Roman" w:hAnsi="Times New Roman" w:cs="Times New Roman"/>
              <w:sz w:val="24"/>
              <w:szCs w:val="24"/>
            </w:rPr>
            <w:fldChar w:fldCharType="begin"/>
          </w:r>
          <w:r w:rsidR="007B3201">
            <w:rPr>
              <w:rFonts w:ascii="Times New Roman" w:hAnsi="Times New Roman" w:cs="Times New Roman"/>
              <w:sz w:val="24"/>
              <w:szCs w:val="24"/>
            </w:rPr>
            <w:instrText xml:space="preserve"> CITATION RIC24 \l 1033 </w:instrText>
          </w:r>
          <w:r w:rsidR="007B3201">
            <w:rPr>
              <w:rFonts w:ascii="Times New Roman" w:hAnsi="Times New Roman" w:cs="Times New Roman"/>
              <w:sz w:val="24"/>
              <w:szCs w:val="24"/>
            </w:rPr>
            <w:fldChar w:fldCharType="separate"/>
          </w:r>
          <w:r w:rsidR="007B3201">
            <w:rPr>
              <w:rFonts w:ascii="Times New Roman" w:hAnsi="Times New Roman" w:cs="Times New Roman"/>
              <w:noProof/>
              <w:sz w:val="24"/>
              <w:szCs w:val="24"/>
            </w:rPr>
            <w:t xml:space="preserve"> </w:t>
          </w:r>
          <w:r w:rsidR="007B3201" w:rsidRPr="007B3201">
            <w:rPr>
              <w:rFonts w:ascii="Times New Roman" w:hAnsi="Times New Roman" w:cs="Times New Roman"/>
              <w:noProof/>
              <w:sz w:val="24"/>
              <w:szCs w:val="24"/>
            </w:rPr>
            <w:t>(OKON, 2024)</w:t>
          </w:r>
          <w:r w:rsidR="007B3201">
            <w:rPr>
              <w:rFonts w:ascii="Times New Roman" w:hAnsi="Times New Roman" w:cs="Times New Roman"/>
              <w:sz w:val="24"/>
              <w:szCs w:val="24"/>
            </w:rPr>
            <w:fldChar w:fldCharType="end"/>
          </w:r>
        </w:sdtContent>
      </w:sdt>
    </w:p>
    <w:p w:rsidR="00F03CB6" w:rsidRDefault="00F03CB6" w:rsidP="00F03CB6">
      <w:r>
        <w:br w:type="page"/>
      </w:r>
    </w:p>
    <w:p w:rsidR="00520780" w:rsidRPr="006B4652" w:rsidRDefault="00F03CB6" w:rsidP="006B4652">
      <w:pPr>
        <w:pStyle w:val="Heading1"/>
        <w:spacing w:before="0" w:line="360" w:lineRule="auto"/>
        <w:jc w:val="center"/>
        <w:rPr>
          <w:rFonts w:ascii="Times New Roman" w:hAnsi="Times New Roman" w:cs="Times New Roman"/>
          <w:b/>
          <w:bCs/>
          <w:color w:val="auto"/>
          <w:sz w:val="24"/>
          <w:szCs w:val="24"/>
        </w:rPr>
      </w:pPr>
      <w:bookmarkStart w:id="18" w:name="_Toc211964225"/>
      <w:r w:rsidRPr="006B4652">
        <w:rPr>
          <w:rFonts w:ascii="Times New Roman" w:hAnsi="Times New Roman" w:cs="Times New Roman"/>
          <w:b/>
          <w:bCs/>
          <w:color w:val="auto"/>
          <w:sz w:val="24"/>
          <w:szCs w:val="24"/>
        </w:rPr>
        <w:lastRenderedPageBreak/>
        <w:t>Question 4</w:t>
      </w:r>
      <w:bookmarkEnd w:id="18"/>
    </w:p>
    <w:p w:rsidR="006B4652" w:rsidRPr="006B4652" w:rsidRDefault="006B4652" w:rsidP="006B4652">
      <w:pPr>
        <w:pStyle w:val="Heading2"/>
        <w:spacing w:before="0" w:line="360" w:lineRule="auto"/>
        <w:rPr>
          <w:rFonts w:ascii="Times New Roman" w:hAnsi="Times New Roman" w:cs="Times New Roman"/>
          <w:b/>
          <w:bCs/>
          <w:color w:val="auto"/>
          <w:sz w:val="24"/>
          <w:szCs w:val="24"/>
        </w:rPr>
      </w:pPr>
      <w:bookmarkStart w:id="19" w:name="_Toc211964226"/>
      <w:r w:rsidRPr="006B4652">
        <w:rPr>
          <w:rFonts w:ascii="Times New Roman" w:hAnsi="Times New Roman" w:cs="Times New Roman"/>
          <w:b/>
          <w:bCs/>
          <w:color w:val="auto"/>
          <w:sz w:val="24"/>
          <w:szCs w:val="24"/>
        </w:rPr>
        <w:t>How block chain mechanism works</w:t>
      </w:r>
      <w:bookmarkEnd w:id="19"/>
    </w:p>
    <w:p w:rsidR="006B4652" w:rsidRPr="006B4652" w:rsidRDefault="006B4652" w:rsidP="006B4652">
      <w:pPr>
        <w:spacing w:after="0" w:line="360" w:lineRule="auto"/>
        <w:jc w:val="both"/>
        <w:rPr>
          <w:rFonts w:ascii="Times New Roman" w:hAnsi="Times New Roman" w:cs="Times New Roman"/>
          <w:sz w:val="24"/>
          <w:szCs w:val="24"/>
        </w:rPr>
      </w:pPr>
      <w:r w:rsidRPr="006B4652">
        <w:rPr>
          <w:rFonts w:ascii="Times New Roman" w:hAnsi="Times New Roman" w:cs="Times New Roman"/>
          <w:sz w:val="24"/>
          <w:szCs w:val="24"/>
        </w:rPr>
        <w:t>Block chain is a technology of digital ledger that holds transactions securely in a network of computers without centralization. Instead of being held centrally in a point, data is spread across multiple nodes, making it transparent, secure, and immutable. Transactions are logged as a "block" which gets linked to the next one, creating a "chain" of authenticated records. Once data is entered, it cannot be altered except by mutual consent of the participants on the network, preventing fraud and unauthorized modifications.</w:t>
      </w:r>
    </w:p>
    <w:p w:rsidR="006B4652" w:rsidRPr="006B4652" w:rsidRDefault="006B4652" w:rsidP="006B4652">
      <w:pPr>
        <w:pStyle w:val="Heading2"/>
        <w:spacing w:before="0" w:line="360" w:lineRule="auto"/>
        <w:rPr>
          <w:rFonts w:ascii="Times New Roman" w:hAnsi="Times New Roman" w:cs="Times New Roman"/>
          <w:b/>
          <w:bCs/>
          <w:color w:val="auto"/>
          <w:sz w:val="24"/>
          <w:szCs w:val="24"/>
        </w:rPr>
      </w:pPr>
      <w:bookmarkStart w:id="20" w:name="_Toc211964227"/>
      <w:r w:rsidRPr="006B4652">
        <w:rPr>
          <w:rFonts w:ascii="Times New Roman" w:hAnsi="Times New Roman" w:cs="Times New Roman"/>
          <w:b/>
          <w:bCs/>
          <w:color w:val="auto"/>
          <w:sz w:val="24"/>
          <w:szCs w:val="24"/>
        </w:rPr>
        <w:t>Block chain in the international business environment of TTL</w:t>
      </w:r>
      <w:bookmarkEnd w:id="20"/>
    </w:p>
    <w:p w:rsidR="006B4652" w:rsidRPr="006B4652" w:rsidRDefault="006B4652" w:rsidP="006B4652">
      <w:pPr>
        <w:spacing w:after="0" w:line="360" w:lineRule="auto"/>
        <w:jc w:val="both"/>
        <w:rPr>
          <w:rFonts w:ascii="Times New Roman" w:hAnsi="Times New Roman" w:cs="Times New Roman"/>
          <w:sz w:val="24"/>
          <w:szCs w:val="24"/>
        </w:rPr>
      </w:pPr>
      <w:r w:rsidRPr="006B4652">
        <w:rPr>
          <w:rFonts w:ascii="Times New Roman" w:hAnsi="Times New Roman" w:cs="Times New Roman"/>
          <w:sz w:val="24"/>
          <w:szCs w:val="24"/>
        </w:rPr>
        <w:t>Block chain will greatly enhance efficiency in operations for Touchend Transnational Logistics PLC (TTL) which has operations in many countries with varying regulatory environments as well as many buyers and suppliers. The company has a high number of cross-border data movements, bills of lading, and international payments. These operations often include the use of intermediaries, long verification processes, as well as data duplication or fraud potential.</w:t>
      </w:r>
    </w:p>
    <w:p w:rsidR="006B4652" w:rsidRPr="006B4652" w:rsidRDefault="006B4652" w:rsidP="006B4652">
      <w:pPr>
        <w:pStyle w:val="Heading2"/>
        <w:spacing w:before="0" w:line="360" w:lineRule="auto"/>
        <w:rPr>
          <w:rFonts w:ascii="Times New Roman" w:hAnsi="Times New Roman" w:cs="Times New Roman"/>
          <w:b/>
          <w:bCs/>
          <w:color w:val="auto"/>
          <w:sz w:val="24"/>
          <w:szCs w:val="24"/>
        </w:rPr>
      </w:pPr>
      <w:bookmarkStart w:id="21" w:name="_Toc211964228"/>
      <w:r w:rsidRPr="006B4652">
        <w:rPr>
          <w:rFonts w:ascii="Times New Roman" w:hAnsi="Times New Roman" w:cs="Times New Roman"/>
          <w:b/>
          <w:bCs/>
          <w:color w:val="auto"/>
          <w:sz w:val="24"/>
          <w:szCs w:val="24"/>
        </w:rPr>
        <w:t>Enabling Compliance and Data Security</w:t>
      </w:r>
      <w:bookmarkEnd w:id="21"/>
    </w:p>
    <w:p w:rsidR="006B4652" w:rsidRPr="006B4652" w:rsidRDefault="006B4652" w:rsidP="006B4652">
      <w:pPr>
        <w:spacing w:after="0" w:line="360" w:lineRule="auto"/>
        <w:jc w:val="both"/>
        <w:rPr>
          <w:rFonts w:ascii="Times New Roman" w:hAnsi="Times New Roman" w:cs="Times New Roman"/>
          <w:sz w:val="24"/>
          <w:szCs w:val="24"/>
        </w:rPr>
      </w:pPr>
      <w:r w:rsidRPr="006B4652">
        <w:rPr>
          <w:rFonts w:ascii="Times New Roman" w:hAnsi="Times New Roman" w:cs="Times New Roman"/>
          <w:sz w:val="24"/>
          <w:szCs w:val="24"/>
        </w:rPr>
        <w:t>Operating in multiple countries means TTL must comply with various legal, tax, and trade practices. Block chain offers a traceable history of all the transactions, which simplifies the generation of compliance reports and minimizes the potential for legal conflicts. All block chain entries are timestamped and verifiable, allowing TTL to demonstrate transparency to government regulators and customers.</w:t>
      </w:r>
    </w:p>
    <w:p w:rsidR="006B4652" w:rsidRPr="006B4652" w:rsidRDefault="006B4652" w:rsidP="006B4652">
      <w:pPr>
        <w:spacing w:after="0" w:line="360" w:lineRule="auto"/>
        <w:jc w:val="both"/>
        <w:rPr>
          <w:rFonts w:ascii="Times New Roman" w:hAnsi="Times New Roman" w:cs="Times New Roman"/>
          <w:sz w:val="24"/>
          <w:szCs w:val="24"/>
        </w:rPr>
      </w:pPr>
      <w:r w:rsidRPr="006B4652">
        <w:rPr>
          <w:rFonts w:ascii="Times New Roman" w:hAnsi="Times New Roman" w:cs="Times New Roman"/>
          <w:sz w:val="24"/>
          <w:szCs w:val="24"/>
        </w:rPr>
        <w:t>Another tremendous advantage is security of data. Because block chain uses encryption and decentralized storage of data, it virtually eliminates the risk of hacking or data loss. For a company like TTL that handles sensitive shipment and customer information, this type of protection is invaluable.</w:t>
      </w:r>
    </w:p>
    <w:p w:rsidR="006B4652" w:rsidRPr="006B4652" w:rsidRDefault="006B4652" w:rsidP="006B4652">
      <w:pPr>
        <w:pStyle w:val="Heading2"/>
        <w:spacing w:before="0" w:line="360" w:lineRule="auto"/>
        <w:rPr>
          <w:rFonts w:ascii="Times New Roman" w:hAnsi="Times New Roman" w:cs="Times New Roman"/>
          <w:b/>
          <w:bCs/>
          <w:color w:val="auto"/>
          <w:sz w:val="24"/>
          <w:szCs w:val="24"/>
        </w:rPr>
      </w:pPr>
      <w:bookmarkStart w:id="22" w:name="_Toc211964229"/>
      <w:r w:rsidRPr="006B4652">
        <w:rPr>
          <w:rFonts w:ascii="Times New Roman" w:hAnsi="Times New Roman" w:cs="Times New Roman"/>
          <w:b/>
          <w:bCs/>
          <w:color w:val="auto"/>
          <w:sz w:val="24"/>
          <w:szCs w:val="24"/>
        </w:rPr>
        <w:t>Conclusion</w:t>
      </w:r>
      <w:bookmarkEnd w:id="22"/>
    </w:p>
    <w:p w:rsidR="007B3201" w:rsidRDefault="006B4652" w:rsidP="006B4652">
      <w:pPr>
        <w:spacing w:after="0" w:line="360" w:lineRule="auto"/>
        <w:jc w:val="both"/>
        <w:rPr>
          <w:rFonts w:ascii="Times New Roman" w:hAnsi="Times New Roman" w:cs="Times New Roman"/>
          <w:sz w:val="24"/>
          <w:szCs w:val="24"/>
        </w:rPr>
      </w:pPr>
      <w:r w:rsidRPr="006B4652">
        <w:rPr>
          <w:rFonts w:ascii="Times New Roman" w:hAnsi="Times New Roman" w:cs="Times New Roman"/>
          <w:sz w:val="24"/>
          <w:szCs w:val="24"/>
        </w:rPr>
        <w:t xml:space="preserve">Block chain has the potential to revolutionize TTL's global logistics business by bringing greater transparency, security, and efficiency to its supply chain. As it is decentralized in nature, it offers secure documentation and faster transactions, eliminating the inefficiencies of traditional systems. Through block chain, TTL will be in a position to offer more visibility, reduced operational costs, and higher client confidence in its services. As TTL resumes its expansion across Asia and worldwide, block chain technology adoption will position TTL as an innovative, digitally enabled </w:t>
      </w:r>
      <w:r w:rsidRPr="006B4652">
        <w:rPr>
          <w:rFonts w:ascii="Times New Roman" w:hAnsi="Times New Roman" w:cs="Times New Roman"/>
          <w:sz w:val="24"/>
          <w:szCs w:val="24"/>
        </w:rPr>
        <w:lastRenderedPageBreak/>
        <w:t>logistics leader with the potential to serve the complex demands of today's globalized market.</w:t>
      </w:r>
      <w:sdt>
        <w:sdtPr>
          <w:rPr>
            <w:rFonts w:ascii="Times New Roman" w:hAnsi="Times New Roman" w:cs="Times New Roman"/>
            <w:sz w:val="24"/>
            <w:szCs w:val="24"/>
          </w:rPr>
          <w:id w:val="1571536588"/>
          <w:citation/>
        </w:sdtPr>
        <w:sdtContent>
          <w:r w:rsidR="007B3201">
            <w:rPr>
              <w:rFonts w:ascii="Times New Roman" w:hAnsi="Times New Roman" w:cs="Times New Roman"/>
              <w:sz w:val="24"/>
              <w:szCs w:val="24"/>
            </w:rPr>
            <w:fldChar w:fldCharType="begin"/>
          </w:r>
          <w:r w:rsidR="007B3201">
            <w:rPr>
              <w:rFonts w:ascii="Times New Roman" w:hAnsi="Times New Roman" w:cs="Times New Roman"/>
              <w:sz w:val="24"/>
              <w:szCs w:val="24"/>
            </w:rPr>
            <w:instrText xml:space="preserve"> CITATION Yet25 \l 1033 </w:instrText>
          </w:r>
          <w:r w:rsidR="007B3201">
            <w:rPr>
              <w:rFonts w:ascii="Times New Roman" w:hAnsi="Times New Roman" w:cs="Times New Roman"/>
              <w:sz w:val="24"/>
              <w:szCs w:val="24"/>
            </w:rPr>
            <w:fldChar w:fldCharType="separate"/>
          </w:r>
          <w:r w:rsidR="007B3201">
            <w:rPr>
              <w:rFonts w:ascii="Times New Roman" w:hAnsi="Times New Roman" w:cs="Times New Roman"/>
              <w:noProof/>
              <w:sz w:val="24"/>
              <w:szCs w:val="24"/>
            </w:rPr>
            <w:t xml:space="preserve"> </w:t>
          </w:r>
          <w:r w:rsidR="007B3201" w:rsidRPr="007B3201">
            <w:rPr>
              <w:rFonts w:ascii="Times New Roman" w:hAnsi="Times New Roman" w:cs="Times New Roman"/>
              <w:noProof/>
              <w:sz w:val="24"/>
              <w:szCs w:val="24"/>
            </w:rPr>
            <w:t>(Adeoye, 2025)</w:t>
          </w:r>
          <w:r w:rsidR="007B3201">
            <w:rPr>
              <w:rFonts w:ascii="Times New Roman" w:hAnsi="Times New Roman" w:cs="Times New Roman"/>
              <w:sz w:val="24"/>
              <w:szCs w:val="24"/>
            </w:rPr>
            <w:fldChar w:fldCharType="end"/>
          </w:r>
        </w:sdtContent>
      </w:sdt>
    </w:p>
    <w:p w:rsidR="007B3201" w:rsidRDefault="007B3201" w:rsidP="007B3201">
      <w:r>
        <w:br w:type="page"/>
      </w:r>
    </w:p>
    <w:bookmarkStart w:id="23" w:name="_Toc211964230" w:displacedByCustomXml="next"/>
    <w:sdt>
      <w:sdtPr>
        <w:id w:val="247628318"/>
        <w:docPartObj>
          <w:docPartGallery w:val="Bibliographies"/>
          <w:docPartUnique/>
        </w:docPartObj>
      </w:sdtPr>
      <w:sdtEndPr>
        <w:rPr>
          <w:rFonts w:asciiTheme="minorHAnsi" w:eastAsiaTheme="minorEastAsia" w:hAnsiTheme="minorHAnsi" w:cstheme="minorBidi"/>
          <w:color w:val="auto"/>
          <w:sz w:val="22"/>
          <w:szCs w:val="22"/>
        </w:rPr>
      </w:sdtEndPr>
      <w:sdtContent>
        <w:p w:rsidR="00125C0B" w:rsidRPr="00125C0B" w:rsidRDefault="00125C0B" w:rsidP="00125C0B">
          <w:pPr>
            <w:pStyle w:val="Heading1"/>
            <w:spacing w:before="0" w:line="360" w:lineRule="auto"/>
            <w:jc w:val="center"/>
            <w:rPr>
              <w:rFonts w:ascii="Times New Roman" w:hAnsi="Times New Roman" w:cs="Times New Roman"/>
              <w:b/>
              <w:bCs/>
              <w:color w:val="auto"/>
              <w:sz w:val="24"/>
              <w:szCs w:val="24"/>
            </w:rPr>
          </w:pPr>
          <w:r w:rsidRPr="00125C0B">
            <w:rPr>
              <w:rFonts w:ascii="Times New Roman" w:hAnsi="Times New Roman" w:cs="Times New Roman"/>
              <w:b/>
              <w:bCs/>
              <w:color w:val="auto"/>
              <w:sz w:val="24"/>
              <w:szCs w:val="24"/>
            </w:rPr>
            <w:t>References</w:t>
          </w:r>
          <w:bookmarkEnd w:id="23"/>
        </w:p>
        <w:sdt>
          <w:sdtPr>
            <w:id w:val="-573587230"/>
            <w:bibliography/>
          </w:sdtPr>
          <w:sdtContent>
            <w:p w:rsidR="00125C0B" w:rsidRPr="00125C0B" w:rsidRDefault="00125C0B" w:rsidP="00125C0B">
              <w:pPr>
                <w:pStyle w:val="Bibliography"/>
                <w:spacing w:after="0" w:line="360" w:lineRule="auto"/>
                <w:ind w:left="720" w:hanging="720"/>
                <w:rPr>
                  <w:rFonts w:ascii="Times New Roman" w:hAnsi="Times New Roman" w:cs="Times New Roman"/>
                  <w:noProof/>
                  <w:sz w:val="28"/>
                  <w:szCs w:val="28"/>
                </w:rPr>
              </w:pPr>
              <w:r w:rsidRPr="00125C0B">
                <w:rPr>
                  <w:rFonts w:ascii="Times New Roman" w:hAnsi="Times New Roman" w:cs="Times New Roman"/>
                  <w:sz w:val="24"/>
                  <w:szCs w:val="24"/>
                </w:rPr>
                <w:fldChar w:fldCharType="begin"/>
              </w:r>
              <w:r w:rsidRPr="00125C0B">
                <w:rPr>
                  <w:rFonts w:ascii="Times New Roman" w:hAnsi="Times New Roman" w:cs="Times New Roman"/>
                  <w:sz w:val="24"/>
                  <w:szCs w:val="24"/>
                </w:rPr>
                <w:instrText xml:space="preserve"> BIBLIOGRAPHY </w:instrText>
              </w:r>
              <w:r w:rsidRPr="00125C0B">
                <w:rPr>
                  <w:rFonts w:ascii="Times New Roman" w:hAnsi="Times New Roman" w:cs="Times New Roman"/>
                  <w:sz w:val="24"/>
                  <w:szCs w:val="24"/>
                </w:rPr>
                <w:fldChar w:fldCharType="separate"/>
              </w:r>
              <w:r w:rsidRPr="00125C0B">
                <w:rPr>
                  <w:rFonts w:ascii="Times New Roman" w:hAnsi="Times New Roman" w:cs="Times New Roman"/>
                  <w:noProof/>
                  <w:sz w:val="24"/>
                  <w:szCs w:val="24"/>
                </w:rPr>
                <w:t xml:space="preserve">Adeoye, Y. (2025). </w:t>
              </w:r>
              <w:r w:rsidRPr="00125C0B">
                <w:rPr>
                  <w:rFonts w:ascii="Times New Roman" w:hAnsi="Times New Roman" w:cs="Times New Roman"/>
                  <w:i/>
                  <w:iCs/>
                  <w:noProof/>
                  <w:sz w:val="24"/>
                  <w:szCs w:val="24"/>
                </w:rPr>
                <w:t>Blockchain and Global Trade: Streamlining Cross Border Transactions with Blockchain</w:t>
              </w:r>
              <w:r w:rsidRPr="00125C0B">
                <w:rPr>
                  <w:rFonts w:ascii="Times New Roman" w:hAnsi="Times New Roman" w:cs="Times New Roman"/>
                  <w:noProof/>
                  <w:sz w:val="24"/>
                  <w:szCs w:val="24"/>
                </w:rPr>
                <w:t xml:space="preserve">. Retrieved from </w:t>
              </w:r>
              <w:hyperlink r:id="rId9" w:history="1">
                <w:r w:rsidRPr="00125C0B">
                  <w:rPr>
                    <w:rStyle w:val="Hyperlink"/>
                    <w:rFonts w:ascii="Times New Roman" w:hAnsi="Times New Roman" w:cs="Times New Roman"/>
                    <w:noProof/>
                    <w:sz w:val="24"/>
                    <w:szCs w:val="24"/>
                  </w:rPr>
                  <w:t>https://www.researchgate.net/publication/390270804_Blockchain_and_Global_Trade_Streamlining_Cross_Border_Transactions_with_Blockchain</w:t>
                </w:r>
              </w:hyperlink>
            </w:p>
            <w:p w:rsidR="00125C0B" w:rsidRPr="00125C0B" w:rsidRDefault="00125C0B" w:rsidP="00125C0B">
              <w:pPr>
                <w:pStyle w:val="Bibliography"/>
                <w:spacing w:after="0" w:line="360" w:lineRule="auto"/>
                <w:ind w:left="720" w:hanging="720"/>
                <w:rPr>
                  <w:rFonts w:ascii="Times New Roman" w:hAnsi="Times New Roman" w:cs="Times New Roman"/>
                  <w:noProof/>
                  <w:sz w:val="24"/>
                  <w:szCs w:val="24"/>
                </w:rPr>
              </w:pPr>
              <w:r w:rsidRPr="00125C0B">
                <w:rPr>
                  <w:rFonts w:ascii="Times New Roman" w:hAnsi="Times New Roman" w:cs="Times New Roman"/>
                  <w:noProof/>
                  <w:sz w:val="24"/>
                  <w:szCs w:val="24"/>
                </w:rPr>
                <w:t xml:space="preserve">Edirimuni, S. (2025). </w:t>
              </w:r>
              <w:r w:rsidRPr="00125C0B">
                <w:rPr>
                  <w:rFonts w:ascii="Times New Roman" w:hAnsi="Times New Roman" w:cs="Times New Roman"/>
                  <w:i/>
                  <w:iCs/>
                  <w:noProof/>
                  <w:sz w:val="24"/>
                  <w:szCs w:val="24"/>
                </w:rPr>
                <w:t>CQHRM - Case Study 03 (Digital Expertise (CQHRM-U21-U22-U23-U24) )</w:t>
              </w:r>
              <w:r w:rsidRPr="00125C0B">
                <w:rPr>
                  <w:rFonts w:ascii="Times New Roman" w:hAnsi="Times New Roman" w:cs="Times New Roman"/>
                  <w:noProof/>
                  <w:sz w:val="24"/>
                  <w:szCs w:val="24"/>
                </w:rPr>
                <w:t xml:space="preserve">. Retrieved from </w:t>
              </w:r>
              <w:hyperlink r:id="rId10" w:history="1">
                <w:r w:rsidRPr="00125C0B">
                  <w:rPr>
                    <w:rStyle w:val="Hyperlink"/>
                    <w:rFonts w:ascii="Times New Roman" w:hAnsi="Times New Roman" w:cs="Times New Roman"/>
                    <w:noProof/>
                    <w:sz w:val="24"/>
                    <w:szCs w:val="24"/>
                  </w:rPr>
                  <w:t>https://www.scribd.com/document/838504039/CQHRM-Case-Study-03-Digital-Expertise-CQHRM-U21-U22-U23-U24-1</w:t>
                </w:r>
              </w:hyperlink>
            </w:p>
            <w:p w:rsidR="00125C0B" w:rsidRPr="00125C0B" w:rsidRDefault="00125C0B" w:rsidP="00125C0B">
              <w:pPr>
                <w:pStyle w:val="Bibliography"/>
                <w:spacing w:after="0" w:line="360" w:lineRule="auto"/>
                <w:ind w:left="720" w:hanging="720"/>
                <w:rPr>
                  <w:rFonts w:ascii="Times New Roman" w:hAnsi="Times New Roman" w:cs="Times New Roman"/>
                  <w:noProof/>
                  <w:sz w:val="24"/>
                  <w:szCs w:val="24"/>
                </w:rPr>
              </w:pPr>
              <w:r w:rsidRPr="00125C0B">
                <w:rPr>
                  <w:rFonts w:ascii="Times New Roman" w:hAnsi="Times New Roman" w:cs="Times New Roman"/>
                  <w:noProof/>
                  <w:sz w:val="24"/>
                  <w:szCs w:val="24"/>
                </w:rPr>
                <w:t xml:space="preserve">Hempel, P. S. (2004). </w:t>
              </w:r>
              <w:r w:rsidRPr="00125C0B">
                <w:rPr>
                  <w:rFonts w:ascii="Times New Roman" w:hAnsi="Times New Roman" w:cs="Times New Roman"/>
                  <w:i/>
                  <w:iCs/>
                  <w:noProof/>
                  <w:sz w:val="24"/>
                  <w:szCs w:val="24"/>
                </w:rPr>
                <w:t>Preparing the HR Profession for Technology and Information Work</w:t>
              </w:r>
              <w:r w:rsidRPr="00125C0B">
                <w:rPr>
                  <w:rFonts w:ascii="Times New Roman" w:hAnsi="Times New Roman" w:cs="Times New Roman"/>
                  <w:noProof/>
                  <w:sz w:val="24"/>
                  <w:szCs w:val="24"/>
                </w:rPr>
                <w:t xml:space="preserve">. Retrieved from </w:t>
              </w:r>
              <w:hyperlink r:id="rId11" w:history="1">
                <w:r w:rsidRPr="00125C0B">
                  <w:rPr>
                    <w:rStyle w:val="Hyperlink"/>
                    <w:rFonts w:ascii="Times New Roman" w:hAnsi="Times New Roman" w:cs="Times New Roman"/>
                    <w:noProof/>
                    <w:sz w:val="24"/>
                    <w:szCs w:val="24"/>
                  </w:rPr>
                  <w:t>https://www.researchgate.net/publication/229714165_Preparing_the_HR_Profession_for_Technology_and_Information_Work</w:t>
                </w:r>
              </w:hyperlink>
            </w:p>
            <w:p w:rsidR="00125C0B" w:rsidRPr="00125C0B" w:rsidRDefault="00125C0B" w:rsidP="00125C0B">
              <w:pPr>
                <w:pStyle w:val="Bibliography"/>
                <w:spacing w:after="0" w:line="360" w:lineRule="auto"/>
                <w:ind w:left="720" w:hanging="720"/>
                <w:rPr>
                  <w:rFonts w:ascii="Times New Roman" w:hAnsi="Times New Roman" w:cs="Times New Roman"/>
                  <w:noProof/>
                  <w:sz w:val="24"/>
                  <w:szCs w:val="24"/>
                </w:rPr>
              </w:pPr>
              <w:r w:rsidRPr="00125C0B">
                <w:rPr>
                  <w:rFonts w:ascii="Times New Roman" w:hAnsi="Times New Roman" w:cs="Times New Roman"/>
                  <w:noProof/>
                  <w:sz w:val="24"/>
                  <w:szCs w:val="24"/>
                </w:rPr>
                <w:t xml:space="preserve">Madhuri, D. A. (2025). </w:t>
              </w:r>
              <w:r w:rsidRPr="00125C0B">
                <w:rPr>
                  <w:rFonts w:ascii="Times New Roman" w:hAnsi="Times New Roman" w:cs="Times New Roman"/>
                  <w:i/>
                  <w:iCs/>
                  <w:noProof/>
                  <w:sz w:val="24"/>
                  <w:szCs w:val="24"/>
                </w:rPr>
                <w:t>HR Analytics and Decision-Making: A Data-Driven Approach to Employee Performance Management</w:t>
              </w:r>
              <w:r w:rsidRPr="00125C0B">
                <w:rPr>
                  <w:rFonts w:ascii="Times New Roman" w:hAnsi="Times New Roman" w:cs="Times New Roman"/>
                  <w:noProof/>
                  <w:sz w:val="24"/>
                  <w:szCs w:val="24"/>
                </w:rPr>
                <w:t xml:space="preserve">. Retrieved from </w:t>
              </w:r>
              <w:hyperlink r:id="rId12" w:history="1">
                <w:r w:rsidRPr="00125C0B">
                  <w:rPr>
                    <w:rStyle w:val="Hyperlink"/>
                    <w:rFonts w:ascii="Times New Roman" w:hAnsi="Times New Roman" w:cs="Times New Roman"/>
                    <w:noProof/>
                    <w:sz w:val="24"/>
                    <w:szCs w:val="24"/>
                  </w:rPr>
                  <w:t>https://www.researchgate.net/publication/390477819_HR_Analytics_and_Decision-Making_A_Data-Driven_Approach_to_Employee_Performance_Management</w:t>
                </w:r>
              </w:hyperlink>
            </w:p>
            <w:p w:rsidR="00125C0B" w:rsidRPr="00125C0B" w:rsidRDefault="00125C0B" w:rsidP="00125C0B">
              <w:pPr>
                <w:pStyle w:val="Bibliography"/>
                <w:spacing w:after="0" w:line="360" w:lineRule="auto"/>
                <w:ind w:left="720" w:hanging="720"/>
                <w:rPr>
                  <w:rFonts w:ascii="Times New Roman" w:hAnsi="Times New Roman" w:cs="Times New Roman"/>
                  <w:noProof/>
                  <w:sz w:val="24"/>
                  <w:szCs w:val="24"/>
                </w:rPr>
              </w:pPr>
              <w:r w:rsidRPr="00125C0B">
                <w:rPr>
                  <w:rFonts w:ascii="Times New Roman" w:hAnsi="Times New Roman" w:cs="Times New Roman"/>
                  <w:noProof/>
                  <w:sz w:val="24"/>
                  <w:szCs w:val="24"/>
                </w:rPr>
                <w:t xml:space="preserve">MISC. (2025). </w:t>
              </w:r>
              <w:r w:rsidRPr="00125C0B">
                <w:rPr>
                  <w:rFonts w:ascii="Times New Roman" w:hAnsi="Times New Roman" w:cs="Times New Roman"/>
                  <w:i/>
                  <w:iCs/>
                  <w:noProof/>
                  <w:sz w:val="24"/>
                  <w:szCs w:val="24"/>
                </w:rPr>
                <w:t>Understanding "Industry 4.0" and preparing TTL for it, including the role of HR professionals</w:t>
              </w:r>
              <w:r w:rsidRPr="00125C0B">
                <w:rPr>
                  <w:rFonts w:ascii="Times New Roman" w:hAnsi="Times New Roman" w:cs="Times New Roman"/>
                  <w:noProof/>
                  <w:sz w:val="24"/>
                  <w:szCs w:val="24"/>
                </w:rPr>
                <w:t xml:space="preserve">. Retrieved from </w:t>
              </w:r>
              <w:hyperlink r:id="rId13" w:history="1">
                <w:r w:rsidRPr="00125C0B">
                  <w:rPr>
                    <w:rStyle w:val="Hyperlink"/>
                    <w:rFonts w:ascii="Times New Roman" w:hAnsi="Times New Roman" w:cs="Times New Roman"/>
                    <w:noProof/>
                    <w:sz w:val="24"/>
                    <w:szCs w:val="24"/>
                  </w:rPr>
                  <w:t>https://www.coursehero.com/file/225575435/052-ip-TTLdocx-updatedpdf/</w:t>
                </w:r>
              </w:hyperlink>
            </w:p>
            <w:p w:rsidR="00125C0B" w:rsidRPr="00125C0B" w:rsidRDefault="00125C0B" w:rsidP="00125C0B">
              <w:pPr>
                <w:pStyle w:val="Bibliography"/>
                <w:spacing w:after="0" w:line="360" w:lineRule="auto"/>
                <w:ind w:left="720" w:hanging="720"/>
                <w:rPr>
                  <w:rFonts w:ascii="Times New Roman" w:hAnsi="Times New Roman" w:cs="Times New Roman"/>
                  <w:noProof/>
                  <w:sz w:val="24"/>
                  <w:szCs w:val="24"/>
                </w:rPr>
              </w:pPr>
              <w:r w:rsidRPr="00125C0B">
                <w:rPr>
                  <w:rFonts w:ascii="Times New Roman" w:hAnsi="Times New Roman" w:cs="Times New Roman"/>
                  <w:noProof/>
                  <w:sz w:val="24"/>
                  <w:szCs w:val="24"/>
                </w:rPr>
                <w:t xml:space="preserve">OKON, R. (2024). </w:t>
              </w:r>
              <w:r w:rsidRPr="00125C0B">
                <w:rPr>
                  <w:rFonts w:ascii="Times New Roman" w:hAnsi="Times New Roman" w:cs="Times New Roman"/>
                  <w:i/>
                  <w:iCs/>
                  <w:noProof/>
                  <w:sz w:val="24"/>
                  <w:szCs w:val="24"/>
                </w:rPr>
                <w:t>Integrating Data-Driven Analytics into Human Resource Management to Improve Decision-Making and Organizational Effectiveness</w:t>
              </w:r>
              <w:r w:rsidRPr="00125C0B">
                <w:rPr>
                  <w:rFonts w:ascii="Times New Roman" w:hAnsi="Times New Roman" w:cs="Times New Roman"/>
                  <w:noProof/>
                  <w:sz w:val="24"/>
                  <w:szCs w:val="24"/>
                </w:rPr>
                <w:t xml:space="preserve">. Retrieved from </w:t>
              </w:r>
              <w:hyperlink r:id="rId14" w:history="1">
                <w:r w:rsidRPr="00125C0B">
                  <w:rPr>
                    <w:rStyle w:val="Hyperlink"/>
                    <w:rFonts w:ascii="Times New Roman" w:hAnsi="Times New Roman" w:cs="Times New Roman"/>
                    <w:noProof/>
                    <w:sz w:val="24"/>
                    <w:szCs w:val="24"/>
                  </w:rPr>
                  <w:t>https://www.irejournals.com/formatedpaper/1706749.pdf</w:t>
                </w:r>
              </w:hyperlink>
            </w:p>
            <w:p w:rsidR="00125C0B" w:rsidRPr="00125C0B" w:rsidRDefault="00125C0B" w:rsidP="00125C0B">
              <w:pPr>
                <w:pStyle w:val="Bibliography"/>
                <w:spacing w:after="0" w:line="360" w:lineRule="auto"/>
                <w:ind w:left="720" w:hanging="720"/>
                <w:rPr>
                  <w:rFonts w:ascii="Times New Roman" w:hAnsi="Times New Roman" w:cs="Times New Roman"/>
                  <w:noProof/>
                  <w:sz w:val="24"/>
                  <w:szCs w:val="24"/>
                </w:rPr>
              </w:pPr>
              <w:r w:rsidRPr="00125C0B">
                <w:rPr>
                  <w:rFonts w:ascii="Times New Roman" w:hAnsi="Times New Roman" w:cs="Times New Roman"/>
                  <w:noProof/>
                  <w:sz w:val="24"/>
                  <w:szCs w:val="24"/>
                </w:rPr>
                <w:t xml:space="preserve">Sakuni. (2025). </w:t>
              </w:r>
              <w:r w:rsidRPr="00125C0B">
                <w:rPr>
                  <w:rFonts w:ascii="Times New Roman" w:hAnsi="Times New Roman" w:cs="Times New Roman"/>
                  <w:i/>
                  <w:iCs/>
                  <w:noProof/>
                  <w:sz w:val="24"/>
                  <w:szCs w:val="24"/>
                </w:rPr>
                <w:t>The concept of digital disruption and transformation within the context of TTL's global business strategy</w:t>
              </w:r>
              <w:r w:rsidRPr="00125C0B">
                <w:rPr>
                  <w:rFonts w:ascii="Times New Roman" w:hAnsi="Times New Roman" w:cs="Times New Roman"/>
                  <w:noProof/>
                  <w:sz w:val="24"/>
                  <w:szCs w:val="24"/>
                </w:rPr>
                <w:t xml:space="preserve">. Retrieved from </w:t>
              </w:r>
              <w:hyperlink r:id="rId15" w:history="1">
                <w:r w:rsidRPr="00125C0B">
                  <w:rPr>
                    <w:rStyle w:val="Hyperlink"/>
                    <w:rFonts w:ascii="Times New Roman" w:hAnsi="Times New Roman" w:cs="Times New Roman"/>
                    <w:noProof/>
                    <w:sz w:val="24"/>
                    <w:szCs w:val="24"/>
                  </w:rPr>
                  <w:t>https://www.cliffsnotes.com/study-notes/27230324</w:t>
                </w:r>
              </w:hyperlink>
            </w:p>
            <w:p w:rsidR="00125C0B" w:rsidRDefault="00125C0B" w:rsidP="00125C0B">
              <w:r w:rsidRPr="00125C0B">
                <w:rPr>
                  <w:rFonts w:ascii="Times New Roman" w:hAnsi="Times New Roman" w:cs="Times New Roman"/>
                  <w:b/>
                  <w:bCs/>
                  <w:noProof/>
                  <w:sz w:val="24"/>
                  <w:szCs w:val="24"/>
                </w:rPr>
                <w:fldChar w:fldCharType="end"/>
              </w:r>
            </w:p>
          </w:sdtContent>
        </w:sdt>
      </w:sdtContent>
    </w:sdt>
    <w:p w:rsidR="006B4652" w:rsidRPr="00C06665" w:rsidRDefault="006B4652" w:rsidP="006B4652">
      <w:pPr>
        <w:spacing w:after="0" w:line="360" w:lineRule="auto"/>
        <w:jc w:val="both"/>
        <w:rPr>
          <w:rFonts w:ascii="Times New Roman" w:hAnsi="Times New Roman" w:cs="Times New Roman"/>
          <w:sz w:val="24"/>
          <w:szCs w:val="24"/>
        </w:rPr>
      </w:pPr>
    </w:p>
    <w:p w:rsidR="005D4BAF" w:rsidRPr="005D4BAF" w:rsidRDefault="005D4BAF" w:rsidP="005D4BAF">
      <w:pPr>
        <w:spacing w:after="0" w:line="360" w:lineRule="auto"/>
        <w:jc w:val="both"/>
        <w:rPr>
          <w:rFonts w:ascii="Times New Roman" w:hAnsi="Times New Roman" w:cs="Times New Roman"/>
        </w:rPr>
      </w:pPr>
    </w:p>
    <w:p w:rsidR="00E57CA0" w:rsidRPr="00E57CA0" w:rsidRDefault="00E57CA0">
      <w:pPr>
        <w:rPr>
          <w:rFonts w:ascii="Times New Roman" w:hAnsi="Times New Roman" w:cs="Times New Roman"/>
        </w:rPr>
      </w:pPr>
    </w:p>
    <w:sectPr w:rsidR="00E57CA0" w:rsidRPr="00E57CA0" w:rsidSect="00125C0B">
      <w:footerReference w:type="default" r:id="rId16"/>
      <w:pgSz w:w="11907" w:h="16839" w:code="9"/>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700C" w:rsidRDefault="0094700C" w:rsidP="00125C0B">
      <w:pPr>
        <w:spacing w:after="0" w:line="240" w:lineRule="auto"/>
      </w:pPr>
      <w:r>
        <w:separator/>
      </w:r>
    </w:p>
  </w:endnote>
  <w:endnote w:type="continuationSeparator" w:id="0">
    <w:p w:rsidR="0094700C" w:rsidRDefault="0094700C" w:rsidP="00125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Iskoola Pota">
    <w:panose1 w:val="020B0502040204020203"/>
    <w:charset w:val="00"/>
    <w:family w:val="auto"/>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03372167"/>
      <w:docPartObj>
        <w:docPartGallery w:val="Page Numbers (Bottom of Page)"/>
        <w:docPartUnique/>
      </w:docPartObj>
    </w:sdtPr>
    <w:sdtEndPr>
      <w:rPr>
        <w:noProof/>
      </w:rPr>
    </w:sdtEndPr>
    <w:sdtContent>
      <w:p w:rsidR="00125C0B" w:rsidRDefault="00125C0B">
        <w:pPr>
          <w:pStyle w:val="Footer"/>
          <w:jc w:val="center"/>
        </w:pPr>
        <w:r>
          <w:fldChar w:fldCharType="begin"/>
        </w:r>
        <w:r>
          <w:instrText xml:space="preserve"> PAGE   \* MERGEFORMAT </w:instrText>
        </w:r>
        <w:r>
          <w:fldChar w:fldCharType="separate"/>
        </w:r>
        <w:r w:rsidR="004B50DF">
          <w:rPr>
            <w:noProof/>
          </w:rPr>
          <w:t>11</w:t>
        </w:r>
        <w:r>
          <w:rPr>
            <w:noProof/>
          </w:rPr>
          <w:fldChar w:fldCharType="end"/>
        </w:r>
      </w:p>
    </w:sdtContent>
  </w:sdt>
  <w:p w:rsidR="00125C0B" w:rsidRDefault="00125C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700C" w:rsidRDefault="0094700C" w:rsidP="00125C0B">
      <w:pPr>
        <w:spacing w:after="0" w:line="240" w:lineRule="auto"/>
      </w:pPr>
      <w:r>
        <w:separator/>
      </w:r>
    </w:p>
  </w:footnote>
  <w:footnote w:type="continuationSeparator" w:id="0">
    <w:p w:rsidR="0094700C" w:rsidRDefault="0094700C" w:rsidP="00125C0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CA0"/>
    <w:rsid w:val="00125C0B"/>
    <w:rsid w:val="00172F74"/>
    <w:rsid w:val="00223965"/>
    <w:rsid w:val="00272598"/>
    <w:rsid w:val="002B454F"/>
    <w:rsid w:val="002B53FE"/>
    <w:rsid w:val="004B50DF"/>
    <w:rsid w:val="00520780"/>
    <w:rsid w:val="005D4BAF"/>
    <w:rsid w:val="006B4652"/>
    <w:rsid w:val="007B3201"/>
    <w:rsid w:val="00864266"/>
    <w:rsid w:val="0094700C"/>
    <w:rsid w:val="00A263D5"/>
    <w:rsid w:val="00B939CB"/>
    <w:rsid w:val="00C06665"/>
    <w:rsid w:val="00E57CA0"/>
    <w:rsid w:val="00F03CB6"/>
    <w:rsid w:val="00FA19D7"/>
  </w:rsids>
  <m:mathPr>
    <m:mathFont m:val="Cambria Math"/>
    <m:brkBin m:val="before"/>
    <m:brkBinSub m:val="--"/>
    <m:smallFrac m:val="0"/>
    <m:dispDef/>
    <m:lMargin m:val="0"/>
    <m:rMargin m:val="0"/>
    <m:defJc m:val="centerGroup"/>
    <m:wrapIndent m:val="1440"/>
    <m:intLim m:val="subSup"/>
    <m:naryLim m:val="undOvr"/>
  </m:mathPr>
  <w:themeFontLang w:val="en-US" w:eastAsia="ko-KR"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7B0950-9EE5-4FB5-820E-23B19B0F7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57CA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D4B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CA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D4BAF"/>
    <w:rPr>
      <w:rFonts w:asciiTheme="majorHAnsi" w:eastAsiaTheme="majorEastAsia" w:hAnsiTheme="majorHAnsi" w:cstheme="majorBidi"/>
      <w:color w:val="2E74B5" w:themeColor="accent1" w:themeShade="BF"/>
      <w:sz w:val="26"/>
      <w:szCs w:val="26"/>
    </w:rPr>
  </w:style>
  <w:style w:type="paragraph" w:styleId="Bibliography">
    <w:name w:val="Bibliography"/>
    <w:basedOn w:val="Normal"/>
    <w:next w:val="Normal"/>
    <w:uiPriority w:val="37"/>
    <w:unhideWhenUsed/>
    <w:rsid w:val="00125C0B"/>
  </w:style>
  <w:style w:type="character" w:styleId="Hyperlink">
    <w:name w:val="Hyperlink"/>
    <w:basedOn w:val="DefaultParagraphFont"/>
    <w:uiPriority w:val="99"/>
    <w:unhideWhenUsed/>
    <w:rsid w:val="00125C0B"/>
    <w:rPr>
      <w:color w:val="0563C1" w:themeColor="hyperlink"/>
      <w:u w:val="single"/>
    </w:rPr>
  </w:style>
  <w:style w:type="paragraph" w:styleId="TOCHeading">
    <w:name w:val="TOC Heading"/>
    <w:basedOn w:val="Heading1"/>
    <w:next w:val="Normal"/>
    <w:uiPriority w:val="39"/>
    <w:unhideWhenUsed/>
    <w:qFormat/>
    <w:rsid w:val="00125C0B"/>
    <w:pPr>
      <w:outlineLvl w:val="9"/>
    </w:pPr>
    <w:rPr>
      <w:lang w:eastAsia="en-US" w:bidi="ar-SA"/>
    </w:rPr>
  </w:style>
  <w:style w:type="paragraph" w:styleId="TOC1">
    <w:name w:val="toc 1"/>
    <w:basedOn w:val="Normal"/>
    <w:next w:val="Normal"/>
    <w:autoRedefine/>
    <w:uiPriority w:val="39"/>
    <w:unhideWhenUsed/>
    <w:rsid w:val="00125C0B"/>
    <w:pPr>
      <w:spacing w:after="100"/>
    </w:pPr>
  </w:style>
  <w:style w:type="paragraph" w:styleId="TOC2">
    <w:name w:val="toc 2"/>
    <w:basedOn w:val="Normal"/>
    <w:next w:val="Normal"/>
    <w:autoRedefine/>
    <w:uiPriority w:val="39"/>
    <w:unhideWhenUsed/>
    <w:rsid w:val="00125C0B"/>
    <w:pPr>
      <w:spacing w:after="100"/>
      <w:ind w:left="220"/>
    </w:pPr>
  </w:style>
  <w:style w:type="paragraph" w:styleId="Header">
    <w:name w:val="header"/>
    <w:basedOn w:val="Normal"/>
    <w:link w:val="HeaderChar"/>
    <w:uiPriority w:val="99"/>
    <w:unhideWhenUsed/>
    <w:rsid w:val="00125C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C0B"/>
  </w:style>
  <w:style w:type="paragraph" w:styleId="Footer">
    <w:name w:val="footer"/>
    <w:basedOn w:val="Normal"/>
    <w:link w:val="FooterChar"/>
    <w:uiPriority w:val="99"/>
    <w:unhideWhenUsed/>
    <w:rsid w:val="00125C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1163269">
      <w:bodyDiv w:val="1"/>
      <w:marLeft w:val="0"/>
      <w:marRight w:val="0"/>
      <w:marTop w:val="0"/>
      <w:marBottom w:val="0"/>
      <w:divBdr>
        <w:top w:val="none" w:sz="0" w:space="0" w:color="auto"/>
        <w:left w:val="none" w:sz="0" w:space="0" w:color="auto"/>
        <w:bottom w:val="none" w:sz="0" w:space="0" w:color="auto"/>
        <w:right w:val="none" w:sz="0" w:space="0" w:color="auto"/>
      </w:divBdr>
    </w:div>
    <w:div w:id="537397152">
      <w:bodyDiv w:val="1"/>
      <w:marLeft w:val="0"/>
      <w:marRight w:val="0"/>
      <w:marTop w:val="0"/>
      <w:marBottom w:val="0"/>
      <w:divBdr>
        <w:top w:val="none" w:sz="0" w:space="0" w:color="auto"/>
        <w:left w:val="none" w:sz="0" w:space="0" w:color="auto"/>
        <w:bottom w:val="none" w:sz="0" w:space="0" w:color="auto"/>
        <w:right w:val="none" w:sz="0" w:space="0" w:color="auto"/>
      </w:divBdr>
    </w:div>
    <w:div w:id="569122755">
      <w:bodyDiv w:val="1"/>
      <w:marLeft w:val="0"/>
      <w:marRight w:val="0"/>
      <w:marTop w:val="0"/>
      <w:marBottom w:val="0"/>
      <w:divBdr>
        <w:top w:val="none" w:sz="0" w:space="0" w:color="auto"/>
        <w:left w:val="none" w:sz="0" w:space="0" w:color="auto"/>
        <w:bottom w:val="none" w:sz="0" w:space="0" w:color="auto"/>
        <w:right w:val="none" w:sz="0" w:space="0" w:color="auto"/>
      </w:divBdr>
    </w:div>
    <w:div w:id="811825037">
      <w:bodyDiv w:val="1"/>
      <w:marLeft w:val="0"/>
      <w:marRight w:val="0"/>
      <w:marTop w:val="0"/>
      <w:marBottom w:val="0"/>
      <w:divBdr>
        <w:top w:val="none" w:sz="0" w:space="0" w:color="auto"/>
        <w:left w:val="none" w:sz="0" w:space="0" w:color="auto"/>
        <w:bottom w:val="none" w:sz="0" w:space="0" w:color="auto"/>
        <w:right w:val="none" w:sz="0" w:space="0" w:color="auto"/>
      </w:divBdr>
    </w:div>
    <w:div w:id="896623777">
      <w:bodyDiv w:val="1"/>
      <w:marLeft w:val="0"/>
      <w:marRight w:val="0"/>
      <w:marTop w:val="0"/>
      <w:marBottom w:val="0"/>
      <w:divBdr>
        <w:top w:val="none" w:sz="0" w:space="0" w:color="auto"/>
        <w:left w:val="none" w:sz="0" w:space="0" w:color="auto"/>
        <w:bottom w:val="none" w:sz="0" w:space="0" w:color="auto"/>
        <w:right w:val="none" w:sz="0" w:space="0" w:color="auto"/>
      </w:divBdr>
    </w:div>
    <w:div w:id="1229995871">
      <w:bodyDiv w:val="1"/>
      <w:marLeft w:val="0"/>
      <w:marRight w:val="0"/>
      <w:marTop w:val="0"/>
      <w:marBottom w:val="0"/>
      <w:divBdr>
        <w:top w:val="none" w:sz="0" w:space="0" w:color="auto"/>
        <w:left w:val="none" w:sz="0" w:space="0" w:color="auto"/>
        <w:bottom w:val="none" w:sz="0" w:space="0" w:color="auto"/>
        <w:right w:val="none" w:sz="0" w:space="0" w:color="auto"/>
      </w:divBdr>
    </w:div>
    <w:div w:id="1620605776">
      <w:bodyDiv w:val="1"/>
      <w:marLeft w:val="0"/>
      <w:marRight w:val="0"/>
      <w:marTop w:val="0"/>
      <w:marBottom w:val="0"/>
      <w:divBdr>
        <w:top w:val="none" w:sz="0" w:space="0" w:color="auto"/>
        <w:left w:val="none" w:sz="0" w:space="0" w:color="auto"/>
        <w:bottom w:val="none" w:sz="0" w:space="0" w:color="auto"/>
        <w:right w:val="none" w:sz="0" w:space="0" w:color="auto"/>
      </w:divBdr>
    </w:div>
    <w:div w:id="1827823184">
      <w:bodyDiv w:val="1"/>
      <w:marLeft w:val="0"/>
      <w:marRight w:val="0"/>
      <w:marTop w:val="0"/>
      <w:marBottom w:val="0"/>
      <w:divBdr>
        <w:top w:val="none" w:sz="0" w:space="0" w:color="auto"/>
        <w:left w:val="none" w:sz="0" w:space="0" w:color="auto"/>
        <w:bottom w:val="none" w:sz="0" w:space="0" w:color="auto"/>
        <w:right w:val="none" w:sz="0" w:space="0" w:color="auto"/>
      </w:divBdr>
    </w:div>
    <w:div w:id="2071343697">
      <w:bodyDiv w:val="1"/>
      <w:marLeft w:val="0"/>
      <w:marRight w:val="0"/>
      <w:marTop w:val="0"/>
      <w:marBottom w:val="0"/>
      <w:divBdr>
        <w:top w:val="none" w:sz="0" w:space="0" w:color="auto"/>
        <w:left w:val="none" w:sz="0" w:space="0" w:color="auto"/>
        <w:bottom w:val="none" w:sz="0" w:space="0" w:color="auto"/>
        <w:right w:val="none" w:sz="0" w:space="0" w:color="auto"/>
      </w:divBdr>
    </w:div>
    <w:div w:id="210209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s://www.coursehero.com/file/225575435/052-ip-TTLdocx-updated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s://www.researchgate.net/publication/390477819_HR_Analytics_and_Decision-Making_A_Data-Driven_Approach_to_Employee_Performance_Managemen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researchgate.net/publication/229714165_Preparing_the_HR_Profession_for_Technology_and_Information_Work" TargetMode="External"/><Relationship Id="rId5" Type="http://schemas.openxmlformats.org/officeDocument/2006/relationships/footnotes" Target="footnotes.xml"/><Relationship Id="rId15" Type="http://schemas.openxmlformats.org/officeDocument/2006/relationships/hyperlink" Target="https://www.cliffsnotes.com/study-notes/27230324" TargetMode="External"/><Relationship Id="rId10" Type="http://schemas.openxmlformats.org/officeDocument/2006/relationships/hyperlink" Target="https://www.scribd.com/document/838504039/CQHRM-Case-Study-03-Digital-Expertise-CQHRM-U21-U22-U23-U24-1" TargetMode="External"/><Relationship Id="rId4" Type="http://schemas.openxmlformats.org/officeDocument/2006/relationships/webSettings" Target="webSettings.xml"/><Relationship Id="rId9" Type="http://schemas.openxmlformats.org/officeDocument/2006/relationships/hyperlink" Target="https://www.researchgate.net/publication/390270804_Blockchain_and_Global_Trade_Streamlining_Cross_Border_Transactions_with_Blockchain" TargetMode="External"/><Relationship Id="rId14" Type="http://schemas.openxmlformats.org/officeDocument/2006/relationships/hyperlink" Target="https://www.irejournals.com/formatedpaper/170674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MIS25</b:Tag>
    <b:SourceType>InternetSite</b:SourceType>
    <b:Guid>{64D53ACB-2F9A-4B7E-9DF4-2792CCF17112}</b:Guid>
    <b:Author>
      <b:Author>
        <b:NameList>
          <b:Person>
            <b:Last>MISC</b:Last>
          </b:Person>
        </b:NameList>
      </b:Author>
    </b:Author>
    <b:Title>Understanding "Industry 4.0" and preparing TTL for it, including the role of HR professionals</b:Title>
    <b:Year>2025</b:Year>
    <b:URL>https://www.coursehero.com/file/225575435/052-ip-TTLdocx-updatedpdf/</b:URL>
    <b:RefOrder>1</b:RefOrder>
  </b:Source>
  <b:Source>
    <b:Tag>Pau041</b:Tag>
    <b:SourceType>InternetSite</b:SourceType>
    <b:Guid>{212C6671-F535-4B72-80AB-D627A410E162}</b:Guid>
    <b:Author>
      <b:Author>
        <b:NameList>
          <b:Person>
            <b:Last>Hempel</b:Last>
            <b:First>Paul</b:First>
            <b:Middle>S.</b:Middle>
          </b:Person>
        </b:NameList>
      </b:Author>
    </b:Author>
    <b:Title>Preparing the HR Profession for Technology and Information Work</b:Title>
    <b:Year>2004</b:Year>
    <b:URL>https://www.researchgate.net/publication/229714165_Preparing_the_HR_Profession_for_Technology_and_Information_Work</b:URL>
    <b:RefOrder>2</b:RefOrder>
  </b:Source>
  <b:Source>
    <b:Tag>htt</b:Tag>
    <b:SourceType>InternetSite</b:SourceType>
    <b:Guid>{84C6CEDB-B2C1-47E5-98D1-B5CE37376D1A}</b:Guid>
    <b:URL>https://www.scribd.com/document/838504039/CQHRM-Case-Study-03-Digital-Expertise-CQHRM-U21-U22-U23-U24-1</b:URL>
    <b:Author>
      <b:Author>
        <b:NameList>
          <b:Person>
            <b:Last>Edirimuni</b:Last>
            <b:First>Sasika</b:First>
          </b:Person>
        </b:NameList>
      </b:Author>
    </b:Author>
    <b:Title>CQHRM - Case Study 03 (Digital Expertise (CQHRM-U21-U22-U23-U24) )</b:Title>
    <b:Year>2025</b:Year>
    <b:RefOrder>3</b:RefOrder>
  </b:Source>
  <b:Source>
    <b:Tag>Sak25</b:Tag>
    <b:SourceType>InternetSite</b:SourceType>
    <b:Guid>{7CE8A89E-91FA-4DD3-9477-9049D69D4657}</b:Guid>
    <b:Author>
      <b:Author>
        <b:NameList>
          <b:Person>
            <b:Last>Sakuni</b:Last>
          </b:Person>
        </b:NameList>
      </b:Author>
    </b:Author>
    <b:Title>The concept of digital disruption and transformation within the context of TTL's global business strategy</b:Title>
    <b:Year>2025</b:Year>
    <b:URL>https://www.cliffsnotes.com/study-notes/27230324</b:URL>
    <b:RefOrder>4</b:RefOrder>
  </b:Source>
  <b:Source>
    <b:Tag>DrA25</b:Tag>
    <b:SourceType>InternetSite</b:SourceType>
    <b:Guid>{BB2CEC0A-FC7B-48A5-9406-57002306E5E6}</b:Guid>
    <b:Author>
      <b:Author>
        <b:NameList>
          <b:Person>
            <b:Last>Madhuri</b:Last>
            <b:First>Dr</b:First>
            <b:Middle>Ananthaneni</b:Middle>
          </b:Person>
        </b:NameList>
      </b:Author>
    </b:Author>
    <b:Title>HR Analytics and Decision-Making: A Data-Driven Approach to Employee Performance Management</b:Title>
    <b:Year>2025</b:Year>
    <b:URL>https://www.researchgate.net/publication/390477819_HR_Analytics_and_Decision-Making_A_Data-Driven_Approach_to_Employee_Performance_Management</b:URL>
    <b:RefOrder>5</b:RefOrder>
  </b:Source>
  <b:Source>
    <b:Tag>RIC24</b:Tag>
    <b:SourceType>InternetSite</b:SourceType>
    <b:Guid>{CC82A51B-7732-4426-9578-05888DA4618C}</b:Guid>
    <b:Author>
      <b:Author>
        <b:NameList>
          <b:Person>
            <b:Last>OKON</b:Last>
            <b:First>RICHARD</b:First>
          </b:Person>
        </b:NameList>
      </b:Author>
    </b:Author>
    <b:Title>Integrating Data-Driven Analytics into Human Resource Management to Improve Decision-Making and Organizational Effectiveness</b:Title>
    <b:Year>2024</b:Year>
    <b:URL>https://www.irejournals.com/formatedpaper/1706749.pdf</b:URL>
    <b:RefOrder>6</b:RefOrder>
  </b:Source>
  <b:Source>
    <b:Tag>Yet25</b:Tag>
    <b:SourceType>InternetSite</b:SourceType>
    <b:Guid>{E6718FD3-6D5D-4EBB-80CB-4F77EE611139}</b:Guid>
    <b:Author>
      <b:Author>
        <b:NameList>
          <b:Person>
            <b:Last>Adeoye</b:Last>
            <b:First>Yetunde</b:First>
          </b:Person>
        </b:NameList>
      </b:Author>
    </b:Author>
    <b:Title>Blockchain and Global Trade: Streamlining Cross Border Transactions with Blockchain</b:Title>
    <b:Year>2025</b:Year>
    <b:URL>https://www.researchgate.net/publication/390270804_Blockchain_and_Global_Trade_Streamlining_Cross_Border_Transactions_with_Blockchain</b:URL>
    <b:RefOrder>7</b:RefOrder>
  </b:Source>
</b:Sources>
</file>

<file path=customXml/itemProps1.xml><?xml version="1.0" encoding="utf-8"?>
<ds:datastoreItem xmlns:ds="http://schemas.openxmlformats.org/officeDocument/2006/customXml" ds:itemID="{DF198973-DC17-4706-9C0F-4895772A2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11</Pages>
  <Words>2898</Words>
  <Characters>16524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2025-10-21T04:58:00Z</dcterms:created>
  <dcterms:modified xsi:type="dcterms:W3CDTF">2025-10-21T13:15:00Z</dcterms:modified>
</cp:coreProperties>
</file>