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F4E79"/>
          <w:sz w:val="72"/>
          <w:szCs w:val="72"/>
        </w:rPr>
        <w:t xml:space="preserve">MHealth</w:t>
      </w:r>
    </w:p>
    <w:p>
      <w:pPr>
        <w:spacing w:after="120" w:before="0"/>
        <w:jc w:val="center"/>
      </w:pPr>
      <w:r>
        <w:rPr>
          <w:rFonts w:ascii="Arial" w:cs="Arial" w:eastAsia="Arial" w:hAnsi="Arial"/>
          <w:b/>
          <w:bCs/>
          <w:color w:val="2E75B6"/>
          <w:sz w:val="32"/>
          <w:szCs w:val="32"/>
        </w:rPr>
        <w:t xml:space="preserve">Idiographic Passive Sensing for Early Mental Health Detection</w:t>
      </w:r>
    </w:p>
    <w:p>
      <w:pPr>
        <w:pBdr>
          <w:bottom w:val="single" w:color="CCCCCC" w:sz="4" w:space="8"/>
        </w:pBdr>
        <w:spacing w:after="400" w:before="0"/>
        <w:jc w:val="center"/>
      </w:pPr>
      <w:r>
        <w:rPr>
          <w:rFonts w:ascii="Arial" w:cs="Arial" w:eastAsia="Arial" w:hAnsi="Arial"/>
          <w:i/>
          <w:iCs/>
          <w:color w:val="595959"/>
          <w:sz w:val="24"/>
          <w:szCs w:val="24"/>
        </w:rPr>
        <w:t xml:space="preserve">A Training-Free, Personalized Behavioral Anomaly Detection System for Android</w:t>
      </w:r>
    </w:p>
    <w:p>
      <w:pPr>
        <w:spacing w:after="200" w:before="0"/>
      </w:pPr>
      <w:r>
        <w:t xml:space="preserve"/>
      </w:r>
    </w:p>
    <w:p>
      <w:pPr>
        <w:spacing w:after="80" w:before="0"/>
        <w:jc w:val="center"/>
      </w:pPr>
      <w:r>
        <w:rPr>
          <w:rFonts w:ascii="Arial" w:cs="Arial" w:eastAsia="Arial" w:hAnsi="Arial"/>
          <w:b/>
          <w:bCs/>
          <w:color w:val="000000"/>
          <w:sz w:val="24"/>
          <w:szCs w:val="24"/>
        </w:rPr>
        <w:t xml:space="preserve">Technical Research Paper</w:t>
      </w:r>
    </w:p>
    <w:p>
      <w:pPr>
        <w:spacing w:after="80" w:before="0"/>
        <w:jc w:val="center"/>
      </w:pPr>
      <w:r>
        <w:rPr>
          <w:rFonts w:ascii="Arial" w:cs="Arial" w:eastAsia="Arial" w:hAnsi="Arial"/>
          <w:color w:val="595959"/>
          <w:sz w:val="22"/>
          <w:szCs w:val="22"/>
        </w:rPr>
        <w:t xml:space="preserve">Version 1.0  |  2026</w:t>
      </w:r>
    </w:p>
    <w:p>
      <w:pPr>
        <w:spacing w:after="80" w:before="0"/>
        <w:jc w:val="center"/>
      </w:pPr>
      <w:r>
        <w:rPr>
          <w:rFonts w:ascii="Arial" w:cs="Arial" w:eastAsia="Arial" w:hAnsi="Arial"/>
          <w:i/>
          <w:iCs/>
          <w:color w:val="CC0000"/>
          <w:sz w:val="20"/>
          <w:szCs w:val="20"/>
        </w:rPr>
        <w:t xml:space="preserve">Confidential — Research Use Only</w:t>
      </w:r>
    </w:p>
    <w:p>
      <w:pPr>
        <w:spacing w:after="600" w:before="0"/>
      </w:pPr>
      <w:r>
        <w:t xml:space="preserve"/>
      </w:r>
    </w:p>
    <w:p>
      <w:pPr>
        <w:pBdr>
          <w:bottom w:val="single" w:color="1F4E79" w:sz="6" w:space="4"/>
        </w:pBdr>
        <w:spacing w:after="0" w:before="0"/>
      </w:pPr>
      <w:r>
        <w:rPr>
          <w:rFonts w:ascii="Arial" w:cs="Arial" w:eastAsia="Arial" w:hAnsi="Arial"/>
          <w:b/>
          <w:bCs/>
          <w:color w:val="1F4E79"/>
          <w:sz w:val="28"/>
          <w:szCs w:val="28"/>
        </w:rPr>
        <w:t xml:space="preserve">Abstract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40"/>
              <w:left w:type="dxa" w:w="240"/>
              <w:bottom w:type="dxa" w:w="140"/>
              <w:right w:type="dxa" w:w="240"/>
            </w:tcMar>
          </w:tcPr>
          <w:p>
            <w:pPr>
              <w:spacing w:after="120" w:before="0"/>
              <w:jc w:val="both"/>
            </w:pPr>
            <w:r>
              <w:rPr>
                <w:rFonts w:ascii="Arial" w:cs="Arial" w:eastAsia="Arial" w:hAnsi="Arial"/>
                <w:sz w:val="22"/>
                <w:szCs w:val="22"/>
              </w:rPr>
              <w:t xml:space="preserve">Existing digital mental health detection systems train machine learning models on population-level behavioral data and apply the resulting models to individuals. This approach contains a fundamental epistemological flaw: population averages erase the substantial inter-individual variance that characterizes human behavior, causing models to misinterpret normal personal variation as pathological and clinical change as noise. We present MHealth, a fully passive, training-free Android application that rejects the nomothetic paradigm in favor of an idiographic architecture where each user serves as their own reference population.</w:t>
            </w:r>
          </w:p>
          <w:p>
            <w:pPr>
              <w:spacing w:after="120" w:before="0"/>
              <w:jc w:val="both"/>
            </w:pPr>
            <w:r>
              <w:rPr>
                <w:rFonts w:ascii="Arial" w:cs="Arial" w:eastAsia="Arial" w:hAnsi="Arial"/>
                <w:sz w:val="22"/>
                <w:szCs w:val="22"/>
              </w:rPr>
              <w:t xml:space="preserve">MHealth collects 29 behavioral features every 15 minutes using only public Android OS APIs — requiring no accessibility services, no clinical questionnaires, and no labeled training data. A 28-day silent calibration period establishes a personalized behavioral fingerprint. A two-stage detection pipeline then monitors for sustained deviations from that individual fingerprint: System 1 performs continuous anomaly detection via personalized z-scoring, EWMA-based velocity estimation, and evidence accumulation; System 2 classifies confirmed anomaly patterns against clinically-grounded disorder prototypes using a dual-frame reference architecture that handles baseline contamination.</w:t>
            </w:r>
          </w:p>
          <w:p>
            <w:pPr>
              <w:spacing w:after="0" w:before="0"/>
              <w:jc w:val="both"/>
            </w:pPr>
            <w:r>
              <w:rPr>
                <w:rFonts w:ascii="Arial" w:cs="Arial" w:eastAsia="Arial" w:hAnsi="Arial"/>
                <w:sz w:val="22"/>
                <w:szCs w:val="22"/>
              </w:rPr>
              <w:t xml:space="preserve">Validated on the StudentLife dataset (n=38, PHQ-9 ground truth), System 1 achieves Pearson r=0.346 (p=0.033), sensitivity=85.7%, specificity=77.4%, and AUC=0.760, outperforming naive ML baselines despite using zero labeled training data. We discuss the theoretical foundations of idiographic behavioral monitoring, the design constraints imposed by the install-and-forget deployment model, and the architectural solutions to the baseline contamination problem inherent in real-world deployment.</w:t>
            </w:r>
          </w:p>
        </w:tc>
      </w:tr>
    </w:tbl>
    <w:p>
      <w:pPr>
        <w:spacing w:after="120" w:before="0"/>
      </w:pPr>
      <w:r>
        <w:t xml:space="preserve"/>
      </w:r>
    </w:p>
    <w:p>
      <w:pPr>
        <w:spacing w:after="80" w:before="0"/>
      </w:pPr>
      <w:r>
        <w:rPr>
          <w:rFonts w:ascii="Arial" w:cs="Arial" w:eastAsia="Arial" w:hAnsi="Arial"/>
          <w:b/>
          <w:bCs/>
          <w:sz w:val="20"/>
          <w:szCs w:val="20"/>
        </w:rPr>
        <w:t xml:space="preserve">Keywords: </w:t>
      </w:r>
      <w:r>
        <w:rPr>
          <w:rFonts w:ascii="Arial" w:cs="Arial" w:eastAsia="Arial" w:hAnsi="Arial"/>
          <w:color w:val="595959"/>
          <w:sz w:val="20"/>
          <w:szCs w:val="20"/>
        </w:rPr>
        <w:t xml:space="preserve">passive sensing, mental health, idiographic models, anomaly detection, Android, personalized baseline, digital phenotyping, depression detection</w:t>
      </w:r>
    </w:p>
    <w:p>
      <w:pPr>
        <w:spacing w:after="24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1. Introduction</w:t>
      </w:r>
    </w:p>
    <w:p>
      <w:pPr>
        <w:spacing w:after="120" w:before="80"/>
        <w:jc w:val="both"/>
      </w:pPr>
      <w:r>
        <w:rPr>
          <w:rFonts w:ascii="Arial" w:cs="Arial" w:eastAsia="Arial" w:hAnsi="Arial"/>
          <w:sz w:val="22"/>
          <w:szCs w:val="22"/>
        </w:rPr>
        <w:t xml:space="preserve">Mental health disorders represent one of the most significant and underserved global health challenges. Depression affects an estimated 280 million people worldwide, yet fewer than 50% receive any form of treatment (World Health Organization, 2023). The treatment gap is not primarily caused by a lack of clinical resources — it is caused by a lack of timely detection. By the time a person seeks or receives a diagnosis, a depressive episode may have been active for months, causing neurological, social, and occupational damage that compounds vulnerability to future episodes. Early detection — catching behavioral change in the weeks before a full clinical episode — is the highest-leverage intervention point in the mental health system.</w:t>
      </w:r>
    </w:p>
    <w:p>
      <w:pPr>
        <w:spacing w:after="120" w:before="80"/>
        <w:jc w:val="both"/>
      </w:pPr>
      <w:r>
        <w:rPr>
          <w:rFonts w:ascii="Arial" w:cs="Arial" w:eastAsia="Arial" w:hAnsi="Arial"/>
          <w:sz w:val="22"/>
          <w:szCs w:val="22"/>
        </w:rPr>
        <w:t xml:space="preserve">Smartphones offer a plausible passive sensing platform for early detection. The average person interacts with their phone over 2,500 times per day (Dscout, 2016), leaving a rich behavioral trace that spans sleep timing, mobility, social contact, communication patterns, and circadian rhythm. These are precisely the behavioral domains that mental health disorders disrupt. The scientific literature has repeatedly demonstrated associations between smartphone behavioral features and depression severity, particularly using datasets such as StudentLife (Wang et al., 2014) and CrossCheck (Barnett et al., 2018).</w:t>
      </w:r>
    </w:p>
    <w:p>
      <w:pPr>
        <w:spacing w:after="120" w:before="80"/>
        <w:jc w:val="both"/>
      </w:pPr>
      <w:r>
        <w:rPr>
          <w:rFonts w:ascii="Arial" w:cs="Arial" w:eastAsia="Arial" w:hAnsi="Arial"/>
          <w:sz w:val="22"/>
          <w:szCs w:val="22"/>
        </w:rPr>
        <w:t xml:space="preserve">However, nearly all existing systems share a critical architectural assumption that we argue is fundamentally incompatible with the problem they are trying to solve: they train machine learning models on population-level behavioral data and apply those models to individuals. This nomothetic approach (from the Greek nomos, law) seeks general laws that apply across people. But mental health behavior is profoundly idiographic — the meaning of any single behavioral datapoint depends entirely on who is exhibiting it and what is normal for that person.</w:t>
      </w:r>
    </w:p>
    <w:p>
      <w:pPr>
        <w:spacing w:after="120" w:before="80"/>
        <w:jc w:val="both"/>
      </w:pPr>
      <w:r>
        <w:rPr>
          <w:rFonts w:ascii="Arial" w:cs="Arial" w:eastAsia="Arial" w:hAnsi="Arial"/>
          <w:sz w:val="22"/>
          <w:szCs w:val="22"/>
        </w:rPr>
        <w:t xml:space="preserve">Consider a concrete example. Person A sleeps 5 hours per night consistently — that is their baseline. Person B sleeps 9 hours per night. A population model trained on a dataset where short sleep correlates with depression will flag Person A as high-risk constantly, while missing Person B entirely when their sleep drops to 6 hours — a 33% decrease representing clinically significant hypersomnia in reverse. The problem is not the model's architecture but its frame of reference. </w:t>
      </w:r>
      <w:r>
        <w:rPr>
          <w:rFonts w:ascii="Arial" w:cs="Arial" w:eastAsia="Arial" w:hAnsi="Arial"/>
          <w:i/>
          <w:iCs/>
          <w:sz w:val="22"/>
          <w:szCs w:val="22"/>
        </w:rPr>
        <w:t xml:space="preserve">The question is not whether this person sleeps less than the population. The question is whether this person sleeps differently than themselves.</w:t>
      </w:r>
    </w:p>
    <w:p>
      <w:pPr>
        <w:spacing w:after="120" w:before="80"/>
        <w:jc w:val="both"/>
      </w:pPr>
      <w:r>
        <w:rPr>
          <w:rFonts w:ascii="Arial" w:cs="Arial" w:eastAsia="Arial" w:hAnsi="Arial"/>
          <w:sz w:val="22"/>
          <w:szCs w:val="22"/>
        </w:rPr>
        <w:t xml:space="preserve">We present MHealth, a mobile application built around this insight. MHealth collects 29 behavioral features passively and continuously, establishes a personal behavioral fingerprint during a 28-day calibration window, and then monitors for sustained deviations from that fingerprint using a two-stage pipeline. The system requires no labeled training data, no clinical questionnaires, no internet connectivity for core analysis, and no active user engagement beyond a single one-time permission grant.</w:t>
      </w:r>
    </w:p>
    <w:p>
      <w:pPr>
        <w:spacing w:after="120" w:before="80"/>
        <w:jc w:val="both"/>
      </w:pPr>
      <w:r>
        <w:rPr>
          <w:rFonts w:ascii="Arial" w:cs="Arial" w:eastAsia="Arial" w:hAnsi="Arial"/>
          <w:sz w:val="22"/>
          <w:szCs w:val="22"/>
        </w:rPr>
        <w:t xml:space="preserve">The paper is organized as follows. Section 2 reviews related work and situates MHealth within the digital mental health literature. Section 3 presents the theoretical motivation for the idiographic approach. Section 4 describes the system architecture in full. Section 5 details the data collection layer. Section 6 describes System 1 (anomaly detection). Section 7 describes System 2 (prototype classification). Section 8 covers the baseline contamination problem and our solution. Section 9 presents validation results on the StudentLife dataset. Section 10 discusses limitations and future work.</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2. Related Work</w:t>
      </w:r>
    </w:p>
    <w:p>
      <w:pPr>
        <w:pStyle w:val="Heading2"/>
        <w:spacing w:after="120" w:before="280"/>
      </w:pPr>
      <w:r>
        <w:rPr>
          <w:rFonts w:ascii="Arial" w:cs="Arial" w:eastAsia="Arial" w:hAnsi="Arial"/>
          <w:b/>
          <w:bCs/>
          <w:color w:val="2E75B6"/>
          <w:sz w:val="26"/>
          <w:szCs w:val="26"/>
        </w:rPr>
        <w:t xml:space="preserve">2.1 Passive Sensing and Mental Health</w:t>
      </w:r>
    </w:p>
    <w:p>
      <w:pPr>
        <w:spacing w:after="120" w:before="80"/>
        <w:jc w:val="both"/>
      </w:pPr>
      <w:r>
        <w:rPr>
          <w:rFonts w:ascii="Arial" w:cs="Arial" w:eastAsia="Arial" w:hAnsi="Arial"/>
          <w:sz w:val="22"/>
          <w:szCs w:val="22"/>
        </w:rPr>
        <w:t xml:space="preserve">Wang et al. (2014) introduced the StudentLife dataset, a 10-week longitudinal study of 48 Dartmouth students, collecting GPS, accelerometer, microphone, and phone usage data alongside PHQ-9 depression scores. This dataset established the feasibility of passive behavioral sensing for mental health prediction and has become the de facto benchmark for the field. Subsequent work demonstrated associations between specific features — sleep irregularity, location entropy, social interaction patterns — and PHQ-9 scores (Saeb et al., 2015; Farhan et al., 2016).</w:t>
      </w:r>
    </w:p>
    <w:p>
      <w:pPr>
        <w:spacing w:after="120" w:before="80"/>
        <w:jc w:val="both"/>
      </w:pPr>
      <w:r>
        <w:rPr>
          <w:rFonts w:ascii="Arial" w:cs="Arial" w:eastAsia="Arial" w:hAnsi="Arial"/>
          <w:sz w:val="22"/>
          <w:szCs w:val="22"/>
        </w:rPr>
        <w:t xml:space="preserve">Barnett et al. (2018) presented CrossCheck, a 12-month study of 75 individuals with schizophrenia-spectrum disorders, establishing that passively sensed behavioral markers could track symptom trajectories in serious mental illness. Palmius et al. (2017) demonstrated bipolar episode prediction from GPS data alone. The AWARE framework (Ferreira et al., 2015) provided an open-source platform for large-scale behavioral data collection, enabling numerous replication studies.</w:t>
      </w:r>
    </w:p>
    <w:p>
      <w:pPr>
        <w:pStyle w:val="Heading2"/>
        <w:spacing w:after="120" w:before="280"/>
      </w:pPr>
      <w:r>
        <w:rPr>
          <w:rFonts w:ascii="Arial" w:cs="Arial" w:eastAsia="Arial" w:hAnsi="Arial"/>
          <w:b/>
          <w:bCs/>
          <w:color w:val="2E75B6"/>
          <w:sz w:val="26"/>
          <w:szCs w:val="26"/>
        </w:rPr>
        <w:t xml:space="preserve">2.2 Machine Learning Approaches</w:t>
      </w:r>
    </w:p>
    <w:p>
      <w:pPr>
        <w:spacing w:after="120" w:before="80"/>
        <w:jc w:val="both"/>
      </w:pPr>
      <w:r>
        <w:rPr>
          <w:rFonts w:ascii="Arial" w:cs="Arial" w:eastAsia="Arial" w:hAnsi="Arial"/>
          <w:sz w:val="22"/>
          <w:szCs w:val="22"/>
        </w:rPr>
        <w:t xml:space="preserve">The dominant methodological paradigm applies supervised or semi-supervised machine learning to population-level behavioral datasets. Saeb et al. (2015) applied regularized linear regression to StudentLife features, achieving correlation coefficients of 0.37-0.58 with PHQ-9. Suhara et al. (2017) trained a deep learning model on 65,000 users' smartphone data, achieving AUC=0.73 for depression onset prediction. Xu et al. (2021) applied transformer architectures to longitudinal passive sensing data.</w:t>
      </w:r>
    </w:p>
    <w:p>
      <w:pPr>
        <w:spacing w:after="120" w:before="80"/>
        <w:jc w:val="both"/>
      </w:pPr>
      <w:r>
        <w:rPr>
          <w:rFonts w:ascii="Arial" w:cs="Arial" w:eastAsia="Arial" w:hAnsi="Arial"/>
          <w:sz w:val="22"/>
          <w:szCs w:val="22"/>
        </w:rPr>
        <w:t xml:space="preserve">A comprehensive review by Sliwinski et al. (2025) analyzed 42 passive sensing studies and found that only 2% conducted external validation — the overwhelming majority of published models are validated only on the same cohort used for training. This finding severely undermines generalizability claims. A head-to-head comparison of personalized versus generalized models by Zhao et al. (2025) demonstrated that personalized models consistently outperformed population models across 35 families over 60 days, directly validating the idiographic approach.</w:t>
      </w:r>
    </w:p>
    <w:p>
      <w:pPr>
        <w:pStyle w:val="Heading2"/>
        <w:spacing w:after="120" w:before="280"/>
      </w:pPr>
      <w:r>
        <w:rPr>
          <w:rFonts w:ascii="Arial" w:cs="Arial" w:eastAsia="Arial" w:hAnsi="Arial"/>
          <w:b/>
          <w:bCs/>
          <w:color w:val="2E75B6"/>
          <w:sz w:val="26"/>
          <w:szCs w:val="26"/>
        </w:rPr>
        <w:t xml:space="preserve">2.3 Commercial Applications</w:t>
      </w:r>
    </w:p>
    <w:p>
      <w:pPr>
        <w:spacing w:after="120" w:before="80"/>
        <w:jc w:val="both"/>
      </w:pPr>
      <w:r>
        <w:rPr>
          <w:rFonts w:ascii="Arial" w:cs="Arial" w:eastAsia="Arial" w:hAnsi="Arial"/>
          <w:sz w:val="22"/>
          <w:szCs w:val="22"/>
        </w:rPr>
        <w:t xml:space="preserve">Mindstrong Health (2017-2023) deployed the most prominent commercial passive sensing platform, measuring cognitive biomarkers from touchscreen interaction patterns. Ellipsis Health applied acoustic analysis of speech samples. Woebot and Wysa provide AI-driven conversational therapy. All of these systems either require active user engagement (questionnaires, speech samples, conversation) or apply population-derived models to individuals — the two failure modes that MHealth is specifically designed to avoid.</w:t>
      </w:r>
    </w:p>
    <w:p>
      <w:pPr>
        <w:pStyle w:val="Heading2"/>
        <w:spacing w:after="120" w:before="280"/>
      </w:pPr>
      <w:r>
        <w:rPr>
          <w:rFonts w:ascii="Arial" w:cs="Arial" w:eastAsia="Arial" w:hAnsi="Arial"/>
          <w:b/>
          <w:bCs/>
          <w:color w:val="2E75B6"/>
          <w:sz w:val="26"/>
          <w:szCs w:val="26"/>
        </w:rPr>
        <w:t xml:space="preserve">2.4 Gap Addressed by This Work</w:t>
      </w:r>
    </w:p>
    <w:p>
      <w:pPr>
        <w:spacing w:after="120" w:before="80"/>
        <w:jc w:val="both"/>
      </w:pPr>
      <w:r>
        <w:rPr>
          <w:rFonts w:ascii="Arial" w:cs="Arial" w:eastAsia="Arial" w:hAnsi="Arial"/>
          <w:sz w:val="22"/>
          <w:szCs w:val="22"/>
        </w:rPr>
        <w:t xml:space="preserve">To our knowledge, no existing deployed system combines: (1) a fully passive install-and-forget architecture, (2) complete avoidance of population model training, (3) personalized baseline establishment, (4) multi-disorder prototype matching, and (5) a principled solution to the baseline contamination problem. MHealth addresses all five dimensions simultaneously.</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3. Theoretical Motivation: The Idiographic Case</w:t>
      </w:r>
    </w:p>
    <w:p>
      <w:pPr>
        <w:pStyle w:val="Heading2"/>
        <w:spacing w:after="120" w:before="280"/>
      </w:pPr>
      <w:r>
        <w:rPr>
          <w:rFonts w:ascii="Arial" w:cs="Arial" w:eastAsia="Arial" w:hAnsi="Arial"/>
          <w:b/>
          <w:bCs/>
          <w:color w:val="2E75B6"/>
          <w:sz w:val="26"/>
          <w:szCs w:val="26"/>
        </w:rPr>
        <w:t xml:space="preserve">3.1 Nomothetic vs. Idiographic Approaches</w:t>
      </w:r>
    </w:p>
    <w:p>
      <w:pPr>
        <w:spacing w:after="120" w:before="80"/>
        <w:jc w:val="both"/>
      </w:pPr>
      <w:r>
        <w:rPr>
          <w:rFonts w:ascii="Arial" w:cs="Arial" w:eastAsia="Arial" w:hAnsi="Arial"/>
          <w:sz w:val="22"/>
          <w:szCs w:val="22"/>
        </w:rPr>
        <w:t xml:space="preserve">The distinction between nomothetic and idiographic scientific approaches originates with philosopher Wilhelm Windelband (1894) and was introduced to psychology by Gordon Allport (1937). Nomothetic science seeks general laws applicable across individuals; idiographic science seeks to understand the particular properties of a single case. Most of 20th-century psychology — and virtually all of clinical ML — is nomothetic by default.</w:t>
      </w:r>
    </w:p>
    <w:p>
      <w:pPr>
        <w:spacing w:after="120" w:before="80"/>
        <w:jc w:val="both"/>
      </w:pPr>
      <w:r>
        <w:rPr>
          <w:rFonts w:ascii="Arial" w:cs="Arial" w:eastAsia="Arial" w:hAnsi="Arial"/>
          <w:sz w:val="22"/>
          <w:szCs w:val="22"/>
        </w:rPr>
        <w:t xml:space="preserve">Meehl (1954) famously demonstrated that simple actuarial (statistical) models outperform clinical judgment in many prediction tasks, initiating decades of research into the respective merits of clinical versus statistical prediction. This work is often cited in support of population ML models for mental health. However, Meehl's finding pertains to the relative merit of human judgment versus statistical rules — not to idiographic versus nomothetic prediction. A personalized statistical model is both actuarial and idiographic.</w:t>
      </w:r>
    </w:p>
    <w:p>
      <w:pPr>
        <w:pStyle w:val="Heading2"/>
        <w:spacing w:after="120" w:before="280"/>
      </w:pPr>
      <w:r>
        <w:rPr>
          <w:rFonts w:ascii="Arial" w:cs="Arial" w:eastAsia="Arial" w:hAnsi="Arial"/>
          <w:b/>
          <w:bCs/>
          <w:color w:val="2E75B6"/>
          <w:sz w:val="26"/>
          <w:szCs w:val="26"/>
        </w:rPr>
        <w:t xml:space="preserve">3.2 The Inter-Individual Variance Problem</w:t>
      </w:r>
    </w:p>
    <w:p>
      <w:pPr>
        <w:spacing w:after="120" w:before="80"/>
        <w:jc w:val="both"/>
      </w:pPr>
      <w:r>
        <w:rPr>
          <w:rFonts w:ascii="Arial" w:cs="Arial" w:eastAsia="Arial" w:hAnsi="Arial"/>
          <w:sz w:val="22"/>
          <w:szCs w:val="22"/>
        </w:rPr>
        <w:t xml:space="preserve">The core mathematical problem with population models in behavioral sensing is the signal-to-noise ratio for any individual data point. Consider a feature f with population mean μ and standard deviation σ_pop. For a given individual with personal baseline μ_i and personal standard deviation σ_i, the signal we wish to detect is deviation from μ_i. The noise we wish to suppress is σ_i. A population model, however, measures deviation from μ — which includes both the personal signal (μ_i - μ) and irrelevant inter-individual variation.</w:t>
      </w:r>
    </w:p>
    <w:p>
      <w:pPr>
        <w:spacing w:after="120" w:before="80"/>
        <w:jc w:val="both"/>
      </w:pPr>
      <w:r>
        <w:rPr>
          <w:rFonts w:ascii="Arial" w:cs="Arial" w:eastAsia="Arial" w:hAnsi="Arial"/>
          <w:sz w:val="22"/>
          <w:szCs w:val="22"/>
        </w:rPr>
        <w:t xml:space="preserve">In a population where inter-individual variance is small relative to intra-individual variance (σ_pop &lt;&lt; σ_i), population models approach idiographic models in practice. In behavioral sensing, the opposite is typically true: inter-individual variance in features like sleep duration, daily displacement, and screen time is substantially larger than typical intra-individual variance over short periods. This means a population model is mostly measuring who someone is, not how they have changed.</w:t>
      </w:r>
    </w:p>
    <w:p>
      <w:pPr>
        <w:pStyle w:val="Heading2"/>
        <w:spacing w:after="120" w:before="280"/>
      </w:pPr>
      <w:r>
        <w:rPr>
          <w:rFonts w:ascii="Arial" w:cs="Arial" w:eastAsia="Arial" w:hAnsi="Arial"/>
          <w:b/>
          <w:bCs/>
          <w:color w:val="2E75B6"/>
          <w:sz w:val="26"/>
          <w:szCs w:val="26"/>
        </w:rPr>
        <w:t xml:space="preserve">3.3 The Bias-Variance Tradeoff Under Small n</w:t>
      </w:r>
    </w:p>
    <w:p>
      <w:pPr>
        <w:spacing w:after="120" w:before="80"/>
        <w:jc w:val="both"/>
      </w:pPr>
      <w:r>
        <w:rPr>
          <w:rFonts w:ascii="Arial" w:cs="Arial" w:eastAsia="Arial" w:hAnsi="Arial"/>
          <w:sz w:val="22"/>
          <w:szCs w:val="22"/>
        </w:rPr>
        <w:t xml:space="preserve">A secondary motivation for the idiographic approach concerns the statistical feasibility of training reliable models on individual behavioral data. With 28 days of baseline per user and 17-29 features, each user provides approximately 28 data points in a high-dimensional space. Attempting to fit a neural network, SVM, or isolation forest to this data results in extreme variance — the model memorizes noise in the baseline rather than learning a generalizable boundary. This is a manifestation of the classical bias-variance tradeoff: complex models require sufficient data to constrain their variance.</w:t>
      </w:r>
    </w:p>
    <w:p>
      <w:pPr>
        <w:spacing w:after="120" w:before="80"/>
        <w:jc w:val="both"/>
      </w:pPr>
      <w:r>
        <w:rPr>
          <w:rFonts w:ascii="Arial" w:cs="Arial" w:eastAsia="Arial" w:hAnsi="Arial"/>
          <w:sz w:val="22"/>
          <w:szCs w:val="22"/>
        </w:rPr>
        <w:t xml:space="preserve">Empirical testing on the StudentLife dataset confirmed this: all ML-based approaches (Isolation Forest, One-Class SVM, LSTM Autoencoder) trained individually on 28-day baselines produced either near-zero sensitivity (flagging almost no one) or near-unity false positive rates (flagging almost everyone). The manual scoring system based on personalized z-scores outperformed all ML baselines. This result, while counterintuitive given the general superiority of learned models, is theoretically expected and consistent with decades of research on small-sample inference.</w:t>
      </w:r>
    </w:p>
    <w:p>
      <w:pPr>
        <w:pStyle w:val="Heading2"/>
        <w:spacing w:after="120" w:before="280"/>
      </w:pPr>
      <w:r>
        <w:rPr>
          <w:rFonts w:ascii="Arial" w:cs="Arial" w:eastAsia="Arial" w:hAnsi="Arial"/>
          <w:b/>
          <w:bCs/>
          <w:color w:val="2E75B6"/>
          <w:sz w:val="26"/>
          <w:szCs w:val="26"/>
        </w:rPr>
        <w:t xml:space="preserve">3.4 Statistical Process Control as the Appropriate Paradigm</w:t>
      </w:r>
    </w:p>
    <w:p>
      <w:pPr>
        <w:spacing w:after="120" w:before="80"/>
        <w:jc w:val="both"/>
      </w:pPr>
      <w:r>
        <w:rPr>
          <w:rFonts w:ascii="Arial" w:cs="Arial" w:eastAsia="Arial" w:hAnsi="Arial"/>
          <w:sz w:val="22"/>
          <w:szCs w:val="22"/>
        </w:rPr>
        <w:t xml:space="preserve">The mathematical framework most appropriate for idiographic behavioral monitoring is not machine learning but Statistical Process Control (SPC), developed by Walter Shewhart in the 1920s for industrial quality monitoring. SPC monitors a manufacturing process against its own historical baseline — not against other processes — and raises alerts when the current output falls outside control limits derived from that specific process's history. The core insight is identical to what we require: normality is defined with respect to the individual process, not a population of processes.</w:t>
      </w:r>
    </w:p>
    <w:p>
      <w:pPr>
        <w:spacing w:after="120" w:before="80"/>
        <w:jc w:val="both"/>
      </w:pPr>
      <w:r>
        <w:rPr>
          <w:rFonts w:ascii="Arial" w:cs="Arial" w:eastAsia="Arial" w:hAnsi="Arial"/>
          <w:sz w:val="22"/>
          <w:szCs w:val="22"/>
        </w:rPr>
        <w:t xml:space="preserve">MHealth's System 1 is a direct application of SPC principles to behavioral sensing. The personal z-score calculation is mathematically equivalent to a Shewhart control chart. The evidence accumulation mechanism extends this with a CUSUM (Cumulative Sum) logic, which provides superior sensitivity to gradual sustained shifts — precisely the temporal signature of depression onset — compared to threshold-based instantaneous alert systems.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4. System Architecture</w:t>
      </w:r>
    </w:p>
    <w:p>
      <w:pPr>
        <w:pStyle w:val="Heading2"/>
        <w:spacing w:after="120" w:before="280"/>
      </w:pPr>
      <w:r>
        <w:rPr>
          <w:rFonts w:ascii="Arial" w:cs="Arial" w:eastAsia="Arial" w:hAnsi="Arial"/>
          <w:b/>
          <w:bCs/>
          <w:color w:val="2E75B6"/>
          <w:sz w:val="26"/>
          <w:szCs w:val="26"/>
        </w:rPr>
        <w:t xml:space="preserve">4.1 Overview</w:t>
      </w:r>
    </w:p>
    <w:p>
      <w:pPr>
        <w:spacing w:after="120" w:before="80"/>
        <w:jc w:val="both"/>
      </w:pPr>
      <w:r>
        <w:rPr>
          <w:rFonts w:ascii="Arial" w:cs="Arial" w:eastAsia="Arial" w:hAnsi="Arial"/>
          <w:sz w:val="22"/>
          <w:szCs w:val="22"/>
        </w:rPr>
        <w:t xml:space="preserve">MHealth's architecture comprises five layers operating in sequence: data collection, baseline calibration, nightly analysis, alert generation, and cloud synchronization. The complete system runs on an Android device without requiring a network connection for core analysis, with optional Firebase synchronization for backup and multi-device support.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60" w:before="60"/>
            </w:pPr>
            <w:r>
              <w:rPr>
                <w:rFonts w:ascii="Courier New" w:cs="Courier New" w:eastAsia="Courier New" w:hAnsi="Courier New"/>
                <w:color w:val="1A1A1A"/>
                <w:sz w:val="20"/>
                <w:szCs w:val="20"/>
              </w:rPr>
              <w:t xml:space="preserve">Android Application (Kotlin)</w:t>
            </w:r>
          </w:p>
          <w:p>
            <w:pPr>
              <w:spacing w:after="60" w:before="60"/>
            </w:pPr>
            <w:r>
              <w:rPr>
                <w:rFonts w:ascii="Courier New" w:cs="Courier New" w:eastAsia="Courier New" w:hAnsi="Courier New"/>
                <w:color w:val="1A1A1A"/>
                <w:sz w:val="20"/>
                <w:szCs w:val="20"/>
              </w:rPr>
              <w:t xml:space="preserve">  └─ MonitoringService (Foreground Service, continuous)</w:t>
            </w:r>
          </w:p>
          <w:p>
            <w:pPr>
              <w:spacing w:after="60" w:before="60"/>
            </w:pPr>
            <w:r>
              <w:rPr>
                <w:rFonts w:ascii="Courier New" w:cs="Courier New" w:eastAsia="Courier New" w:hAnsi="Courier New"/>
                <w:color w:val="1A1A1A"/>
                <w:sz w:val="20"/>
                <w:szCs w:val="20"/>
              </w:rPr>
              <w:t xml:space="preserve">       ├─ DataCollector            — fires every 15 minutes</w:t>
            </w:r>
          </w:p>
          <w:p>
            <w:pPr>
              <w:spacing w:after="60" w:before="60"/>
            </w:pPr>
            <w:r>
              <w:rPr>
                <w:rFonts w:ascii="Courier New" w:cs="Courier New" w:eastAsia="Courier New" w:hAnsi="Courier New"/>
                <w:color w:val="1A1A1A"/>
                <w:sz w:val="20"/>
                <w:szCs w:val="20"/>
              </w:rPr>
              <w:t xml:space="preserve">       │    └─ PersonalityVector   — assembles 29 behavioral features</w:t>
            </w:r>
          </w:p>
          <w:p>
            <w:pPr>
              <w:spacing w:after="60" w:before="60"/>
            </w:pPr>
            <w:r>
              <w:rPr>
                <w:rFonts w:ascii="Courier New" w:cs="Courier New" w:eastAsia="Courier New" w:hAnsi="Courier New"/>
                <w:color w:val="1A1A1A"/>
                <w:sz w:val="20"/>
                <w:szCs w:val="20"/>
              </w:rPr>
              <w:t xml:space="preserve">       ├─ DataRepository           — in-memory StateFlow + Room DB</w:t>
            </w:r>
          </w:p>
          <w:p>
            <w:pPr>
              <w:spacing w:after="60" w:before="60"/>
            </w:pPr>
            <w:r>
              <w:rPr>
                <w:rFonts w:ascii="Courier New" w:cs="Courier New" w:eastAsia="Courier New" w:hAnsi="Courier New"/>
                <w:color w:val="1A1A1A"/>
                <w:sz w:val="20"/>
                <w:szCs w:val="20"/>
              </w:rPr>
              <w:t xml:space="preserve">       └─ NightlyAnalysisWorker    — WorkManager, ~midnight daily</w:t>
            </w:r>
          </w:p>
          <w:p>
            <w:pPr>
              <w:spacing w:after="60" w:before="60"/>
            </w:pPr>
            <w:r>
              <w:rPr>
                <w:rFonts w:ascii="Courier New" w:cs="Courier New" w:eastAsia="Courier New" w:hAnsi="Courier New"/>
                <w:color w:val="1A1A1A"/>
                <w:sz w:val="20"/>
                <w:szCs w:val="20"/>
              </w:rPr>
              <w:t xml:space="preserve">            └─ PythonEngine        — Chaquopy bridge (Python 3.11)</w:t>
            </w:r>
          </w:p>
          <w:p>
            <w:pPr>
              <w:spacing w:after="60" w:before="60"/>
            </w:pPr>
            <w:r>
              <w:rPr>
                <w:rFonts w:ascii="Courier New" w:cs="Courier New" w:eastAsia="Courier New" w:hAnsi="Courier New"/>
                <w:color w:val="1A1A1A"/>
                <w:sz w:val="20"/>
                <w:szCs w:val="20"/>
              </w:rPr>
              <w:t xml:space="preserve">                 ├─ System 1: ImprovedAnomalyDetector</w:t>
            </w:r>
          </w:p>
          <w:p>
            <w:pPr>
              <w:spacing w:after="60" w:before="60"/>
            </w:pPr>
            <w:r>
              <w:rPr>
                <w:rFonts w:ascii="Courier New" w:cs="Courier New" w:eastAsia="Courier New" w:hAnsi="Courier New"/>
                <w:color w:val="1A1A1A"/>
                <w:sz w:val="20"/>
                <w:szCs w:val="20"/>
              </w:rPr>
              <w:t xml:space="preserve">                 │    └─ PersonalizedBaseline → ZScore → Evidence</w:t>
            </w:r>
          </w:p>
          <w:p>
            <w:pPr>
              <w:spacing w:after="60" w:before="60"/>
            </w:pPr>
            <w:r>
              <w:rPr>
                <w:rFonts w:ascii="Courier New" w:cs="Courier New" w:eastAsia="Courier New" w:hAnsi="Courier New"/>
                <w:color w:val="1A1A1A"/>
                <w:sz w:val="20"/>
                <w:szCs w:val="20"/>
              </w:rPr>
              <w:t xml:space="preserve">                 └─ System 2: System2Pipeline</w:t>
            </w:r>
          </w:p>
          <w:p>
            <w:pPr>
              <w:spacing w:after="60" w:before="60"/>
            </w:pPr>
            <w:r>
              <w:rPr>
                <w:rFonts w:ascii="Courier New" w:cs="Courier New" w:eastAsia="Courier New" w:hAnsi="Courier New"/>
                <w:color w:val="1A1A1A"/>
                <w:sz w:val="20"/>
                <w:szCs w:val="20"/>
              </w:rPr>
              <w:t xml:space="preserve">                      ├─ BaselineScreener (3-gate contamination check)</w:t>
            </w:r>
          </w:p>
          <w:p>
            <w:pPr>
              <w:spacing w:after="60" w:before="60"/>
            </w:pPr>
            <w:r>
              <w:rPr>
                <w:rFonts w:ascii="Courier New" w:cs="Courier New" w:eastAsia="Courier New" w:hAnsi="Courier New"/>
                <w:color w:val="1A1A1A"/>
                <w:sz w:val="20"/>
                <w:szCs w:val="20"/>
              </w:rPr>
              <w:t xml:space="preserve">                      ├─ LifeEventFilter</w:t>
            </w:r>
          </w:p>
          <w:p>
            <w:pPr>
              <w:spacing w:after="60" w:before="60"/>
            </w:pPr>
            <w:r>
              <w:rPr>
                <w:rFonts w:ascii="Courier New" w:cs="Courier New" w:eastAsia="Courier New" w:hAnsi="Courier New"/>
                <w:color w:val="1A1A1A"/>
                <w:sz w:val="20"/>
                <w:szCs w:val="20"/>
              </w:rPr>
              <w:t xml:space="preserve">                      ├─ PrototypeMatcher (Frame 1 / Frame 2)</w:t>
            </w:r>
          </w:p>
          <w:p>
            <w:pPr>
              <w:spacing w:after="60" w:before="60"/>
            </w:pPr>
            <w:r>
              <w:rPr>
                <w:rFonts w:ascii="Courier New" w:cs="Courier New" w:eastAsia="Courier New" w:hAnsi="Courier New"/>
                <w:color w:val="1A1A1A"/>
                <w:sz w:val="20"/>
                <w:szCs w:val="20"/>
              </w:rPr>
              <w:t xml:space="preserve">                      ├─ TemporalValidator</w:t>
            </w:r>
          </w:p>
          <w:p>
            <w:pPr>
              <w:spacing w:after="60" w:before="60"/>
            </w:pPr>
            <w:r>
              <w:rPr>
                <w:rFonts w:ascii="Courier New" w:cs="Courier New" w:eastAsia="Courier New" w:hAnsi="Courier New"/>
                <w:color w:val="1A1A1A"/>
                <w:sz w:val="20"/>
                <w:szCs w:val="20"/>
              </w:rPr>
              <w:t xml:space="preserve">                      └─ ExplainabilityEngine</w:t>
            </w:r>
          </w:p>
        </w:tc>
      </w:tr>
    </w:tbl>
    <w:p>
      <w:pPr>
        <w:spacing w:after="160" w:before="60"/>
        <w:jc w:val="center"/>
      </w:pPr>
      <w:r>
        <w:rPr>
          <w:rFonts w:ascii="Arial" w:cs="Arial" w:eastAsia="Arial" w:hAnsi="Arial"/>
          <w:i/>
          <w:iCs/>
          <w:color w:val="595959"/>
          <w:sz w:val="18"/>
          <w:szCs w:val="18"/>
        </w:rPr>
        <w:t xml:space="preserve">Figure 1: MHealth system architecture. Python runs natively on-device via Chaquopy.</w:t>
      </w:r>
    </w:p>
    <w:p>
      <w:pPr>
        <w:pStyle w:val="Heading2"/>
        <w:spacing w:after="120" w:before="280"/>
      </w:pPr>
      <w:r>
        <w:rPr>
          <w:rFonts w:ascii="Arial" w:cs="Arial" w:eastAsia="Arial" w:hAnsi="Arial"/>
          <w:b/>
          <w:bCs/>
          <w:color w:val="2E75B6"/>
          <w:sz w:val="26"/>
          <w:szCs w:val="26"/>
        </w:rPr>
        <w:t xml:space="preserve">4.2 Deployment Model</w:t>
      </w:r>
    </w:p>
    <w:p>
      <w:pPr>
        <w:spacing w:after="120" w:before="80"/>
        <w:jc w:val="both"/>
      </w:pPr>
      <w:r>
        <w:rPr>
          <w:rFonts w:ascii="Arial" w:cs="Arial" w:eastAsia="Arial" w:hAnsi="Arial"/>
          <w:sz w:val="22"/>
          <w:szCs w:val="22"/>
        </w:rPr>
        <w:t xml:space="preserve">The application is designed around an install-and-forget deployment model. The user installs the application, grants permissions once during onboarding, and thereafter never needs to interact with it again. All data collection, analysis, and alert generation occur silently in the background. The user is only surfaced information when the system detects a sustained anomaly warranting attention — the notification is framed as a behavioral observation, not a diagnosis.</w:t>
      </w:r>
    </w:p>
    <w:p>
      <w:pPr>
        <w:spacing w:after="120" w:before="80"/>
        <w:jc w:val="both"/>
      </w:pPr>
      <w:r>
        <w:rPr>
          <w:rFonts w:ascii="Arial" w:cs="Arial" w:eastAsia="Arial" w:hAnsi="Arial"/>
          <w:sz w:val="22"/>
          <w:szCs w:val="22"/>
        </w:rPr>
        <w:t xml:space="preserve">This deployment philosophy differs fundamentally from existing mental health applications that require daily mood logging, weekly questionnaires, or active journaling. User engagement with such applications drops precipitously after the first two weeks of use (Baumel et al., 2019). By eliminating active engagement requirements entirely, MHealth targets the vastly larger population of people who would benefit from mental health monitoring but will not sustain a behavioral routine to receive it.</w:t>
      </w:r>
    </w:p>
    <w:p>
      <w:pPr>
        <w:pStyle w:val="Heading2"/>
        <w:spacing w:after="120" w:before="280"/>
      </w:pPr>
      <w:r>
        <w:rPr>
          <w:rFonts w:ascii="Arial" w:cs="Arial" w:eastAsia="Arial" w:hAnsi="Arial"/>
          <w:b/>
          <w:bCs/>
          <w:color w:val="2E75B6"/>
          <w:sz w:val="26"/>
          <w:szCs w:val="26"/>
        </w:rPr>
        <w:t xml:space="preserve">4.3 Technology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Jetpack Compose + Material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metric display, trend charts, alert history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Service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Android Foreground Service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data collection, guaranteed lifecycle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analysis trigger, battery-constraint aware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Room (SQLite)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Features, baseline, analysis results, user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Sync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 + Firestore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multi-device, research telemetry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Runtime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Chaquopy 16.0 (Python 3.11)</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1 &amp; 2 analysis engine, on-device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Computing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 1.26.2, Pandas 2.1.3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processing, z-score calculation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Kotlin 2.0.21, AGP 8.7.3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Android compilation and packaging</w:t>
            </w:r>
          </w:p>
        </w:tc>
      </w:tr>
    </w:tbl>
    <w:p>
      <w:pPr>
        <w:spacing w:after="160" w:before="60"/>
        <w:jc w:val="center"/>
      </w:pPr>
      <w:r>
        <w:rPr>
          <w:rFonts w:ascii="Arial" w:cs="Arial" w:eastAsia="Arial" w:hAnsi="Arial"/>
          <w:i/>
          <w:iCs/>
          <w:color w:val="595959"/>
          <w:sz w:val="18"/>
          <w:szCs w:val="18"/>
        </w:rPr>
        <w:t xml:space="preserve">Table 1: MHealth technology stack.</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5. Data Collection Layer</w:t>
      </w:r>
    </w:p>
    <w:p>
      <w:pPr>
        <w:pStyle w:val="Heading2"/>
        <w:spacing w:after="120" w:before="280"/>
      </w:pPr>
      <w:r>
        <w:rPr>
          <w:rFonts w:ascii="Arial" w:cs="Arial" w:eastAsia="Arial" w:hAnsi="Arial"/>
          <w:b/>
          <w:bCs/>
          <w:color w:val="2E75B6"/>
          <w:sz w:val="26"/>
          <w:szCs w:val="26"/>
        </w:rPr>
        <w:t xml:space="preserve">5.1 Feature Taxonomy</w:t>
      </w:r>
    </w:p>
    <w:p>
      <w:pPr>
        <w:spacing w:after="120" w:before="80"/>
        <w:jc w:val="both"/>
      </w:pPr>
      <w:r>
        <w:rPr>
          <w:rFonts w:ascii="Arial" w:cs="Arial" w:eastAsia="Arial" w:hAnsi="Arial"/>
          <w:sz w:val="22"/>
          <w:szCs w:val="22"/>
        </w:rPr>
        <w:t xml:space="preserve">The DataCollector fires every 15 minutes and assembles a complete PersonalityVector from 29 behavioral features, organized into six behavioral dimensions. All features are derived exclusively from public Android OS APIs — no accessibility services, no root access, no third-party SDKs. This constraint is deliberate: it ensures the application can be published on the Google Play Store without policy violations, while also limiting the privacy surface area to data the OS already aggregates for system health purposes.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60"/>
        <w:gridCol w:w="4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Android API</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Clinical Relevance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screenTimeHours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UsageEvents (FOREGROUND/BACKGROUND)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activity in depression; increased passive consumption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Screen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unlockCount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UsageEvents (KEYGUARD_HIDDEN)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Anxiety: frequent checking; depression: reduced engagement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appLaunchCount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UsageEvents (ACTIVITY_RESUMED)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activation proxy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Screen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notificationsToday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UsageEvents type=12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stimulus exposure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socialAppRatio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ApplicationInfo.CATEGORY_SOCIAL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withdrawal marker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callsPerDay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ContentResolver / CallLog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social contact frequency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callDurationMinutes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CallLog.Calls.DURATION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of social engagement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uniqueContacts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CallLog (deduplicated)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network breadth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conversationFrequency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calls/contacts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engagement density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dailyDisplacementKm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FusedLocationProvider (Haversine)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Depression: reduced mobility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locationEntropy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Shannon entropy on GPS grid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Diversity of life contexts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homeTimeRatio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GPS cluster analysis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withdrawal / agoraphobia proxy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placesVisited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Distinct GPS grid cells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engagement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Circadian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wakeTimeHour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Longest screen-off gap (end)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Sleep timing dysregulation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Circadian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sleepTimeHour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Longest screen-off gap (start)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onset timing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Circadian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sleepDurationHours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Contiguous screen-off (20:00-12:00)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Hypo/hypersomnia detection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Circadian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darkDurationHours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SCREEN_NON_INTERACTIVE duration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inactive time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Circadian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nightInterruptions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KEYGUARD_HIDDEN 22:00-05:00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Sleep fragmentation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Circadian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chargeDurationHours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BatteryManager.EXTRA_STATUS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Circadian routine regularity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networkWifiMB</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NetworkStatsManager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Home/office time proxy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networkMobileMB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NetworkStatsManager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 activity proxy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calendarEventsToday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CalendarContract.Events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scheduling behavior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mediaCountToday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MediaStore.Files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Creative/documentary activity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appInstallsToday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PackageManager.firstInstallTime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Novelty-seeking behavior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downloadsToday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DIRECTORY_DOWNLOADS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Information-seeking behavior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storageUsedGB</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StatFs(dataDir)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hoarding proxy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appUninstallsToday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PackageManager (incremental diff)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pruning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upiTransactionsToday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PackageManager (13 UPI IDs)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engagement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Behavior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memoryUsagePercent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ActivityManager.MemoryInfo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usage intensity</w:t>
            </w:r>
          </w:p>
        </w:tc>
      </w:tr>
    </w:tbl>
    <w:p>
      <w:pPr>
        <w:spacing w:after="160" w:before="60"/>
        <w:jc w:val="center"/>
      </w:pPr>
      <w:r>
        <w:rPr>
          <w:rFonts w:ascii="Arial" w:cs="Arial" w:eastAsia="Arial" w:hAnsi="Arial"/>
          <w:i/>
          <w:iCs/>
          <w:color w:val="595959"/>
          <w:sz w:val="18"/>
          <w:szCs w:val="18"/>
        </w:rPr>
        <w:t xml:space="preserve">Table 2: Complete 29-feature taxonomy with Android API sources and clinical relevance.</w:t>
      </w:r>
    </w:p>
    <w:p>
      <w:pPr>
        <w:pStyle w:val="Heading2"/>
        <w:spacing w:after="120" w:before="280"/>
      </w:pPr>
      <w:r>
        <w:rPr>
          <w:rFonts w:ascii="Arial" w:cs="Arial" w:eastAsia="Arial" w:hAnsi="Arial"/>
          <w:b/>
          <w:bCs/>
          <w:color w:val="2E75B6"/>
          <w:sz w:val="26"/>
          <w:szCs w:val="26"/>
        </w:rPr>
        <w:t xml:space="preserve">5.2 Sleep Duration Estimation</w:t>
      </w:r>
    </w:p>
    <w:p>
      <w:pPr>
        <w:spacing w:after="120" w:before="80"/>
        <w:jc w:val="both"/>
      </w:pPr>
      <w:r>
        <w:rPr>
          <w:rFonts w:ascii="Arial" w:cs="Arial" w:eastAsia="Arial" w:hAnsi="Arial"/>
          <w:sz w:val="22"/>
          <w:szCs w:val="22"/>
        </w:rPr>
        <w:t xml:space="preserve">Sleep duration estimation from smartphone data is a known methodological challenge, as users sometimes leave their phone on a table while awake or charge it overnight without sleeping. MHealth uses a multi-constraint algorithm for robust sleep estimation: the longest contiguous SCREEN_NON_INTERACTIVE period is extracted, bounded by [20:00, 12:00] to exclude daytime naps, with micro-wake periods under 10 minutes merged into the main sleep window. This approach has been validated against actigraphy in prior work (Cuttone et al., 2017).</w:t>
      </w:r>
    </w:p>
    <w:p>
      <w:pPr>
        <w:pStyle w:val="Heading2"/>
        <w:spacing w:after="120" w:before="280"/>
      </w:pPr>
      <w:r>
        <w:rPr>
          <w:rFonts w:ascii="Arial" w:cs="Arial" w:eastAsia="Arial" w:hAnsi="Arial"/>
          <w:b/>
          <w:bCs/>
          <w:color w:val="2E75B6"/>
          <w:sz w:val="26"/>
          <w:szCs w:val="26"/>
        </w:rPr>
        <w:t xml:space="preserve">5.3 Displacement Calculation</w:t>
      </w:r>
    </w:p>
    <w:p>
      <w:pPr>
        <w:spacing w:after="120" w:before="80"/>
        <w:jc w:val="both"/>
      </w:pPr>
      <w:r>
        <w:rPr>
          <w:rFonts w:ascii="Arial" w:cs="Arial" w:eastAsia="Arial" w:hAnsi="Arial"/>
          <w:sz w:val="22"/>
          <w:szCs w:val="22"/>
        </w:rPr>
        <w:t xml:space="preserve">Daily displacement is computed as the total polyline distance of GPS fixes throughout the day using the Haversine formula. Location entropy is computed as the Shannon entropy over a 0.001-degree grid (~110 meters per cell), providing a continuous measure of geographic diversity. The home location is identified as the most-visited grid cell across all days, and home time ratio is computed as the fraction of GPS fixes falling within a 3-cell radius of this centroid.</w:t>
      </w:r>
    </w:p>
    <w:p>
      <w:pPr>
        <w:pStyle w:val="Heading2"/>
        <w:spacing w:after="120" w:before="280"/>
      </w:pPr>
      <w:r>
        <w:rPr>
          <w:rFonts w:ascii="Arial" w:cs="Arial" w:eastAsia="Arial" w:hAnsi="Arial"/>
          <w:b/>
          <w:bCs/>
          <w:color w:val="2E75B6"/>
          <w:sz w:val="26"/>
          <w:szCs w:val="26"/>
        </w:rPr>
        <w:t xml:space="preserve">5.4 Feature Coverage and Missing Data</w:t>
      </w:r>
    </w:p>
    <w:p>
      <w:pPr>
        <w:spacing w:after="120" w:before="80"/>
        <w:jc w:val="both"/>
      </w:pPr>
      <w:r>
        <w:rPr>
          <w:rFonts w:ascii="Arial" w:cs="Arial" w:eastAsia="Arial" w:hAnsi="Arial"/>
          <w:sz w:val="22"/>
          <w:szCs w:val="22"/>
        </w:rPr>
        <w:t xml:space="preserve">Feature coverage in real-world deployment depends heavily on user behavior and device configuration. GPS features require location permissions and active movement. Call features require READ_CALL_LOG permission and actual phone calls. Users who communicate exclusively via messaging apps will have sparse call-derived features. MHealth handles missing values by imputing the personal baseline mean for features with insufficient data on a given day, rather than excluding the day from analysis — preserving the temporal continuity required by System 1.</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6. System 1: Idiographic Anomaly Detection</w:t>
      </w:r>
    </w:p>
    <w:p>
      <w:pPr>
        <w:pStyle w:val="Heading2"/>
        <w:spacing w:after="120" w:before="280"/>
      </w:pPr>
      <w:r>
        <w:rPr>
          <w:rFonts w:ascii="Arial" w:cs="Arial" w:eastAsia="Arial" w:hAnsi="Arial"/>
          <w:b/>
          <w:bCs/>
          <w:color w:val="2E75B6"/>
          <w:sz w:val="26"/>
          <w:szCs w:val="26"/>
        </w:rPr>
        <w:t xml:space="preserve">6.1 Design Philosophy</w:t>
      </w:r>
    </w:p>
    <w:p>
      <w:pPr>
        <w:spacing w:after="120" w:before="80"/>
        <w:jc w:val="both"/>
      </w:pPr>
      <w:r>
        <w:rPr>
          <w:rFonts w:ascii="Arial" w:cs="Arial" w:eastAsia="Arial" w:hAnsi="Arial"/>
          <w:sz w:val="22"/>
          <w:szCs w:val="22"/>
        </w:rPr>
        <w:t xml:space="preserve">System 1 implements a continuous, personalized behavioral anomaly detector. Its design is governed by three principles derived from the theoretical arguments in Section 3:</w:t>
      </w:r>
    </w:p>
    <w:p>
      <w:pPr>
        <w:pStyle w:val="ListParagraph"/>
        <w:numPr>
          <w:ilvl w:val="0"/>
          <w:numId w:val="2"/>
        </w:numPr>
        <w:spacing w:after="60" w:before="60"/>
      </w:pPr>
      <w:r>
        <w:rPr>
          <w:rFonts w:ascii="Arial" w:cs="Arial" w:eastAsia="Arial" w:hAnsi="Arial"/>
          <w:sz w:val="22"/>
          <w:szCs w:val="22"/>
        </w:rPr>
        <w:t xml:space="preserve">Personalization: Every threshold, weight, and score is computed relative to the individual's own baseline, not a population norm.</w:t>
      </w:r>
    </w:p>
    <w:p>
      <w:pPr>
        <w:pStyle w:val="ListParagraph"/>
        <w:numPr>
          <w:ilvl w:val="0"/>
          <w:numId w:val="2"/>
        </w:numPr>
        <w:spacing w:after="60" w:before="60"/>
      </w:pPr>
      <w:r>
        <w:rPr>
          <w:rFonts w:ascii="Arial" w:cs="Arial" w:eastAsia="Arial" w:hAnsi="Arial"/>
          <w:sz w:val="22"/>
          <w:szCs w:val="22"/>
        </w:rPr>
        <w:t xml:space="preserve">Sustained Evidence: Single-day deviations are treated as noise. Only sustained, multi-day patterns that accumulate sufficient evidence trigger an alert.</w:t>
      </w:r>
    </w:p>
    <w:p>
      <w:pPr>
        <w:pStyle w:val="ListParagraph"/>
        <w:numPr>
          <w:ilvl w:val="0"/>
          <w:numId w:val="2"/>
        </w:numPr>
        <w:spacing w:after="60" w:before="60"/>
      </w:pPr>
      <w:r>
        <w:rPr>
          <w:rFonts w:ascii="Arial" w:cs="Arial" w:eastAsia="Arial" w:hAnsi="Arial"/>
          <w:sz w:val="22"/>
          <w:szCs w:val="22"/>
        </w:rPr>
        <w:t xml:space="preserve">Temporal Sensitivity: The system is sensitive not only to the magnitude of current deviation but to the velocity and duration of change.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6.2 Baseline Calibration</w:t>
      </w:r>
    </w:p>
    <w:p>
      <w:pPr>
        <w:spacing w:after="120" w:before="80"/>
        <w:jc w:val="both"/>
      </w:pPr>
      <w:r>
        <w:rPr>
          <w:rFonts w:ascii="Arial" w:cs="Arial" w:eastAsia="Arial" w:hAnsi="Arial"/>
          <w:sz w:val="22"/>
          <w:szCs w:val="22"/>
        </w:rPr>
        <w:t xml:space="preserve">During the 28-day calibration window, a daily PersonalityVector snapshot is appended to Room DB at end of day. After 28 days, the baseline is computed as the per-feature trimmed mean (10% trimming on each tail to exclude anomalous days) and standard deviation. These two statistics — μ_i and σ_i for each feature f of individual i — constitute the personal behavioral fingerprint.</w:t>
      </w:r>
    </w:p>
    <w:p>
      <w:pPr>
        <w:spacing w:after="120" w:before="80"/>
        <w:jc w:val="both"/>
      </w:pPr>
      <w:r>
        <w:rPr>
          <w:rFonts w:ascii="Arial" w:cs="Arial" w:eastAsia="Arial" w:hAnsi="Arial"/>
          <w:sz w:val="22"/>
          <w:szCs w:val="22"/>
        </w:rPr>
        <w:t xml:space="preserve">A critical design assumption is that the user is behaviorally representative of themselves during the calibration window — not necessarily in a positive mental health state, but stable. This assumption is addressed in Section 8 (Baseline Contamination Handling).</w:t>
      </w:r>
    </w:p>
    <w:p>
      <w:pPr>
        <w:pStyle w:val="Heading2"/>
        <w:spacing w:after="120" w:before="280"/>
      </w:pPr>
      <w:r>
        <w:rPr>
          <w:rFonts w:ascii="Arial" w:cs="Arial" w:eastAsia="Arial" w:hAnsi="Arial"/>
          <w:b/>
          <w:bCs/>
          <w:color w:val="2E75B6"/>
          <w:sz w:val="26"/>
          <w:szCs w:val="26"/>
        </w:rPr>
        <w:t xml:space="preserve">6.3 Deviation Magnitude Calculation</w:t>
      </w:r>
    </w:p>
    <w:p>
      <w:pPr>
        <w:spacing w:after="120" w:before="80"/>
        <w:jc w:val="both"/>
      </w:pPr>
      <w:r>
        <w:rPr>
          <w:rFonts w:ascii="Arial" w:cs="Arial" w:eastAsia="Arial" w:hAnsi="Arial"/>
          <w:sz w:val="22"/>
          <w:szCs w:val="22"/>
        </w:rPr>
        <w:t xml:space="preserve">Each day's features are standardized against the personal baseline to produce a vector of z-scores:</w:t>
      </w:r>
    </w:p>
    <w:p>
      <w:pPr>
        <w:shd w:fill="F7F7F7" w:val="clear"/>
        <w:spacing w:after="120" w:before="120"/>
        <w:jc w:val="center"/>
      </w:pPr>
      <w:r>
        <w:rPr>
          <w:rFonts w:ascii="Courier New" w:cs="Courier New" w:eastAsia="Courier New" w:hAnsi="Courier New"/>
          <w:color w:val="333333"/>
          <w:sz w:val="22"/>
          <w:szCs w:val="22"/>
        </w:rPr>
        <w:t xml:space="preserve">z_{i,f,t} = (x_{f,t} - μ_{i,f}) / σ_{i,f}</w:t>
      </w:r>
    </w:p>
    <w:p>
      <w:pPr>
        <w:spacing w:after="120" w:before="80"/>
        <w:jc w:val="both"/>
      </w:pPr>
      <w:r>
        <w:rPr>
          <w:rFonts w:ascii="Arial" w:cs="Arial" w:eastAsia="Arial" w:hAnsi="Arial"/>
          <w:sz w:val="22"/>
          <w:szCs w:val="22"/>
        </w:rPr>
        <w:t xml:space="preserve">where x_{f,t} is the current value of feature f at time t, μ_{i,f} is person i's baseline mean for feature f, and σ_{i,f} is person i's baseline standard deviation. The denominator is floored at a minimum value (0.01) to prevent division by near-zero standard deviations in highly consistent features, which would produce artificially inflated z-scores.</w:t>
      </w:r>
    </w:p>
    <w:p>
      <w:pPr>
        <w:spacing w:after="120" w:before="80"/>
        <w:jc w:val="both"/>
      </w:pPr>
      <w:r>
        <w:rPr>
          <w:rFonts w:ascii="Arial" w:cs="Arial" w:eastAsia="Arial" w:hAnsi="Arial"/>
          <w:sz w:val="22"/>
          <w:szCs w:val="22"/>
        </w:rPr>
        <w:t xml:space="preserve">This formulation is exactly the Shewhart control chart statistic. A value of |z| &gt; 1.5 indicates a feature exceeding the normal day-to-day variation range for this individual; |z| &gt; 2.0 indicates a feature at the 95th percentile of personal variation; |z| &gt; 3.0 indicates a feature outside the 99.7th percentile of personal variation.</w:t>
      </w:r>
    </w:p>
    <w:p>
      <w:pPr>
        <w:pStyle w:val="Heading2"/>
        <w:spacing w:after="120" w:before="280"/>
      </w:pPr>
      <w:r>
        <w:rPr>
          <w:rFonts w:ascii="Arial" w:cs="Arial" w:eastAsia="Arial" w:hAnsi="Arial"/>
          <w:b/>
          <w:bCs/>
          <w:color w:val="2E75B6"/>
          <w:sz w:val="26"/>
          <w:szCs w:val="26"/>
        </w:rPr>
        <w:t xml:space="preserve">6.4 Deviation Velocity Calculation</w:t>
      </w:r>
    </w:p>
    <w:p>
      <w:pPr>
        <w:spacing w:after="120" w:before="80"/>
        <w:jc w:val="both"/>
      </w:pPr>
      <w:r>
        <w:rPr>
          <w:rFonts w:ascii="Arial" w:cs="Arial" w:eastAsia="Arial" w:hAnsi="Arial"/>
          <w:sz w:val="22"/>
          <w:szCs w:val="22"/>
        </w:rPr>
        <w:t xml:space="preserve">In addition to instantaneous deviation magnitude, System 1 tracks the rate of change of each feature using Exponential Weighted Moving Average (EWMA):</w:t>
      </w:r>
    </w:p>
    <w:p>
      <w:pPr>
        <w:shd w:fill="F7F7F7" w:val="clear"/>
        <w:spacing w:after="120" w:before="120"/>
        <w:jc w:val="center"/>
      </w:pPr>
      <w:r>
        <w:rPr>
          <w:rFonts w:ascii="Courier New" w:cs="Courier New" w:eastAsia="Courier New" w:hAnsi="Courier New"/>
          <w:color w:val="333333"/>
          <w:sz w:val="22"/>
          <w:szCs w:val="22"/>
        </w:rPr>
        <w:t xml:space="preserve">EWMA_t = α · x_t + (1 - α) · EWMA_{t-1}    [α = 0.4]</w:t>
      </w:r>
    </w:p>
    <w:p>
      <w:pPr>
        <w:spacing w:after="120" w:before="80"/>
        <w:jc w:val="both"/>
      </w:pPr>
      <w:r>
        <w:rPr>
          <w:rFonts w:ascii="Arial" w:cs="Arial" w:eastAsia="Arial" w:hAnsi="Arial"/>
          <w:sz w:val="22"/>
          <w:szCs w:val="22"/>
        </w:rPr>
        <w:t xml:space="preserve">The velocity of feature f is computed as the normalized slope of EWMA values over the 7-day history window:</w:t>
      </w:r>
    </w:p>
    <w:p>
      <w:pPr>
        <w:shd w:fill="F7F7F7" w:val="clear"/>
        <w:spacing w:after="120" w:before="120"/>
        <w:jc w:val="center"/>
      </w:pPr>
      <w:r>
        <w:rPr>
          <w:rFonts w:ascii="Courier New" w:cs="Courier New" w:eastAsia="Courier New" w:hAnsi="Courier New"/>
          <w:color w:val="333333"/>
          <w:sz w:val="22"/>
          <w:szCs w:val="22"/>
        </w:rPr>
        <w:t xml:space="preserve">v_{i,f,t} = (EWMA_t - EWMA_{t-6}) / (7 · μ_{i,f})</w:t>
      </w:r>
    </w:p>
    <w:p>
      <w:pPr>
        <w:spacing w:after="120" w:before="80"/>
        <w:jc w:val="both"/>
      </w:pPr>
      <w:r>
        <w:rPr>
          <w:rFonts w:ascii="Arial" w:cs="Arial" w:eastAsia="Arial" w:hAnsi="Arial"/>
          <w:sz w:val="22"/>
          <w:szCs w:val="22"/>
        </w:rPr>
        <w:t xml:space="preserve">The smoothing factor α=0.4 weights the most recent day approximately twice as heavily as a day from 4 days prior. This provides sensitivity to accelerating trends — a feature declining slowly for 2 weeks may not cross a fixed threshold until late in the episode, but its EWMA slope will have been negative for the full duration, providing earlier detection.</w:t>
      </w:r>
    </w:p>
    <w:p>
      <w:pPr>
        <w:pStyle w:val="Heading2"/>
        <w:spacing w:after="120" w:before="280"/>
      </w:pPr>
      <w:r>
        <w:rPr>
          <w:rFonts w:ascii="Arial" w:cs="Arial" w:eastAsia="Arial" w:hAnsi="Arial"/>
          <w:b/>
          <w:bCs/>
          <w:color w:val="2E75B6"/>
          <w:sz w:val="26"/>
          <w:szCs w:val="26"/>
        </w:rPr>
        <w:t xml:space="preserve">6.5 Composite Anomaly Score</w:t>
      </w:r>
    </w:p>
    <w:p>
      <w:pPr>
        <w:spacing w:after="120" w:before="80"/>
        <w:jc w:val="both"/>
      </w:pPr>
      <w:r>
        <w:rPr>
          <w:rFonts w:ascii="Arial" w:cs="Arial" w:eastAsia="Arial" w:hAnsi="Arial"/>
          <w:sz w:val="22"/>
          <w:szCs w:val="22"/>
        </w:rPr>
        <w:t xml:space="preserve">The composite anomaly score combines magnitude and velocity:</w:t>
      </w:r>
    </w:p>
    <w:p>
      <w:pPr>
        <w:shd w:fill="F7F7F7" w:val="clear"/>
        <w:spacing w:after="120" w:before="120"/>
        <w:jc w:val="center"/>
      </w:pPr>
      <w:r>
        <w:rPr>
          <w:rFonts w:ascii="Courier New" w:cs="Courier New" w:eastAsia="Courier New" w:hAnsi="Courier New"/>
          <w:color w:val="333333"/>
          <w:sz w:val="22"/>
          <w:szCs w:val="22"/>
        </w:rPr>
        <w:t xml:space="preserve">S_t = 0.7 · M_t + 0.3 · V_t</w:t>
      </w:r>
    </w:p>
    <w:p>
      <w:pPr>
        <w:spacing w:after="120" w:before="80"/>
        <w:jc w:val="both"/>
      </w:pPr>
      <w:r>
        <w:rPr>
          <w:rFonts w:ascii="Arial" w:cs="Arial" w:eastAsia="Arial" w:hAnsi="Arial"/>
          <w:sz w:val="22"/>
          <w:szCs w:val="22"/>
        </w:rPr>
        <w:t xml:space="preserve">where M_t is the normalized magnitude score and V_t is the normalized velocity score, each bounded to [0, 1]:</w:t>
      </w:r>
    </w:p>
    <w:p>
      <w:pPr>
        <w:shd w:fill="F7F7F7" w:val="clear"/>
        <w:spacing w:after="120" w:before="120"/>
        <w:jc w:val="center"/>
      </w:pPr>
      <w:r>
        <w:rPr>
          <w:rFonts w:ascii="Courier New" w:cs="Courier New" w:eastAsia="Courier New" w:hAnsi="Courier New"/>
          <w:color w:val="333333"/>
          <w:sz w:val="22"/>
          <w:szCs w:val="22"/>
        </w:rPr>
        <w:t xml:space="preserve">M_t = min( mean(|z_{f,t}|) / 3.0 , 1.0 )</w:t>
      </w:r>
    </w:p>
    <w:p>
      <w:pPr>
        <w:shd w:fill="F7F7F7" w:val="clear"/>
        <w:spacing w:after="120" w:before="120"/>
        <w:jc w:val="center"/>
      </w:pPr>
      <w:r>
        <w:rPr>
          <w:rFonts w:ascii="Courier New" w:cs="Courier New" w:eastAsia="Courier New" w:hAnsi="Courier New"/>
          <w:color w:val="333333"/>
          <w:sz w:val="22"/>
          <w:szCs w:val="22"/>
        </w:rPr>
        <w:t xml:space="preserve">V_t = min( mean(|v_{f,t}|) · 10 , 1.0 )</w:t>
      </w:r>
    </w:p>
    <w:p>
      <w:pPr>
        <w:spacing w:after="120" w:before="80"/>
        <w:jc w:val="both"/>
      </w:pPr>
      <w:r>
        <w:rPr>
          <w:rFonts w:ascii="Arial" w:cs="Arial" w:eastAsia="Arial" w:hAnsi="Arial"/>
          <w:sz w:val="22"/>
          <w:szCs w:val="22"/>
        </w:rPr>
        <w:t xml:space="preserve">The 70/30 weighting reflects the clinical priority: current state (magnitude) is the primary signal, while trajectory acceleration (velocity) is a reinforcing secondary signal. This ratio is not arbitrary — it reflects the differential reliability of the two components. Magnitude is computable with a single day's data; velocity requires 2+ days and is more sensitive to noise in the short-term history window.</w:t>
      </w:r>
    </w:p>
    <w:p>
      <w:pPr>
        <w:pStyle w:val="Heading2"/>
        <w:spacing w:after="120" w:before="280"/>
      </w:pPr>
      <w:r>
        <w:rPr>
          <w:rFonts w:ascii="Arial" w:cs="Arial" w:eastAsia="Arial" w:hAnsi="Arial"/>
          <w:b/>
          <w:bCs/>
          <w:color w:val="2E75B6"/>
          <w:sz w:val="26"/>
          <w:szCs w:val="26"/>
        </w:rPr>
        <w:t xml:space="preserve">6.6 Evidence Accumulation</w:t>
      </w:r>
    </w:p>
    <w:p>
      <w:pPr>
        <w:spacing w:after="120" w:before="80"/>
        <w:jc w:val="both"/>
      </w:pPr>
      <w:r>
        <w:rPr>
          <w:rFonts w:ascii="Arial" w:cs="Arial" w:eastAsia="Arial" w:hAnsi="Arial"/>
          <w:sz w:val="22"/>
          <w:szCs w:val="22"/>
        </w:rPr>
        <w:t xml:space="preserve">The core innovation of System 1 is its evidence accumulation mechanism, which transforms the problem from threshold-based anomaly detection (fragile, triggers on single noisy days) to a cumulative evidence model (robust, requires sustained multi-day patterns). This is mathematically equivalent to a CUSUM (Cumulative Sum) chart with exponential decay:</w:t>
      </w:r>
    </w:p>
    <w:p>
      <w:pPr>
        <w:shd w:fill="F7F7F7" w:val="clear"/>
        <w:spacing w:after="120" w:before="120"/>
        <w:jc w:val="center"/>
      </w:pPr>
      <w:r>
        <w:rPr>
          <w:rFonts w:ascii="Courier New" w:cs="Courier New" w:eastAsia="Courier New" w:hAnsi="Courier New"/>
          <w:color w:val="333333"/>
          <w:sz w:val="22"/>
          <w:szCs w:val="22"/>
        </w:rPr>
        <w:t xml:space="preserve">E_t = E_{t-1} + S_t · (1 + d_t · 0.1)    if S_t &gt; θ_score</w:t>
      </w:r>
    </w:p>
    <w:p>
      <w:pPr>
        <w:shd w:fill="F7F7F7" w:val="clear"/>
        <w:spacing w:after="120" w:before="120"/>
        <w:jc w:val="center"/>
      </w:pPr>
      <w:r>
        <w:rPr>
          <w:rFonts w:ascii="Courier New" w:cs="Courier New" w:eastAsia="Courier New" w:hAnsi="Courier New"/>
          <w:color w:val="333333"/>
          <w:sz w:val="22"/>
          <w:szCs w:val="22"/>
        </w:rPr>
        <w:t xml:space="preserve">E_t = E_{t-1} · 0.92                      if S_t ≤ θ_score</w:t>
      </w:r>
    </w:p>
    <w:p>
      <w:pPr>
        <w:spacing w:after="120" w:before="80"/>
        <w:jc w:val="both"/>
      </w:pPr>
      <w:r>
        <w:rPr>
          <w:rFonts w:ascii="Arial" w:cs="Arial" w:eastAsia="Arial" w:hAnsi="Arial"/>
          <w:sz w:val="22"/>
          <w:szCs w:val="22"/>
        </w:rPr>
        <w:t xml:space="preserve">where θ_score is the daily anomaly score threshold, d_t is the number of consecutive days above threshold (sustained_deviation_days), and 0.92 is the decay factor applied on normal days. The 0.1 multiplier on d_t implements superlinear evidence growth for sustained patterns — a week of consistent deviation accumulates more than seven times the evidence of a single day, reflecting the clinical reality that sustained behavioral change is exponentially more clinically meaningful than transient variation.</w:t>
      </w:r>
    </w:p>
    <w:p>
      <w:pPr>
        <w:spacing w:after="120" w:before="80"/>
        <w:jc w:val="both"/>
      </w:pPr>
      <w:r>
        <w:rPr>
          <w:rFonts w:ascii="Arial" w:cs="Arial" w:eastAsia="Arial" w:hAnsi="Arial"/>
          <w:sz w:val="22"/>
          <w:szCs w:val="22"/>
        </w:rPr>
        <w:t xml:space="preserve">The decay factor of 0.92 means that a normal day reduces accumulated evidence by 8%, preserving memory of recent anomalous patterns while eventually allowing evidence to dissipate if the person returns to baseline. After 14 consecutive normal days, evidence from a prior episode decays to approximately 30% of its peak value.</w:t>
      </w:r>
    </w:p>
    <w:p>
      <w:pPr>
        <w:pStyle w:val="Heading2"/>
        <w:spacing w:after="120" w:before="280"/>
      </w:pPr>
      <w:r>
        <w:rPr>
          <w:rFonts w:ascii="Arial" w:cs="Arial" w:eastAsia="Arial" w:hAnsi="Arial"/>
          <w:b/>
          <w:bCs/>
          <w:color w:val="2E75B6"/>
          <w:sz w:val="26"/>
          <w:szCs w:val="26"/>
        </w:rPr>
        <w:t xml:space="preserve">6.7 Alert Escalation Logic</w:t>
      </w:r>
    </w:p>
    <w:p>
      <w:pPr>
        <w:spacing w:after="120" w:before="80"/>
        <w:jc w:val="both"/>
      </w:pPr>
      <w:r>
        <w:rPr>
          <w:rFonts w:ascii="Arial" w:cs="Arial" w:eastAsia="Arial" w:hAnsi="Arial"/>
          <w:sz w:val="22"/>
          <w:szCs w:val="22"/>
        </w:rPr>
        <w:t xml:space="preserve">Four alert levels (green, yellow, orange, red) are defined with escalation requiring both sustained evidence and sufficient magnitude. Critically, the system will never escalate beyond green for a single high-scoring day, regardless of the score — this prevents false alarms from isolated events (late exam night, one-time travel, illness) from triggering clinical alerts. Escalation to yellow or above requires either sustained_deviation_days &gt;= 4 OR evidence_accumulated &gt;= 2.0. This conservative design prioritizes specificity over sensitivity in the real-time alerting pathway.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60" w:before="60"/>
            </w:pPr>
            <w:r>
              <w:rPr>
                <w:rFonts w:ascii="Courier New" w:cs="Courier New" w:eastAsia="Courier New" w:hAnsi="Courier New"/>
                <w:color w:val="1A1A1A"/>
                <w:sz w:val="20"/>
                <w:szCs w:val="20"/>
              </w:rPr>
              <w:t xml:space="preserve">Alert Level  | Condition                                           | Action</w:t>
            </w:r>
          </w:p>
          <w:p>
            <w:pPr>
              <w:spacing w:after="60" w:before="60"/>
            </w:pPr>
            <w:r>
              <w:rPr>
                <w:rFonts w:ascii="Courier New" w:cs="Courier New" w:eastAsia="Courier New" w:hAnsi="Courier New"/>
                <w:color w:val="1A1A1A"/>
                <w:sz w:val="20"/>
                <w:szCs w:val="20"/>
              </w:rPr>
              <w:t xml:space="preserve">─────────────────────────────────────────────────────────────────────────────</w:t>
            </w:r>
          </w:p>
          <w:p>
            <w:pPr>
              <w:spacing w:after="60" w:before="60"/>
            </w:pPr>
            <w:r>
              <w:rPr>
                <w:rFonts w:ascii="Courier New" w:cs="Courier New" w:eastAsia="Courier New" w:hAnsi="Courier New"/>
                <w:color w:val="1A1A1A"/>
                <w:sz w:val="20"/>
                <w:szCs w:val="20"/>
              </w:rPr>
              <w:t xml:space="preserve">GREEN        | No sustained pattern (default)                      | No alert</w:t>
            </w:r>
          </w:p>
          <w:p>
            <w:pPr>
              <w:spacing w:after="60" w:before="60"/>
            </w:pPr>
            <w:r>
              <w:rPr>
                <w:rFonts w:ascii="Courier New" w:cs="Courier New" w:eastAsia="Courier New" w:hAnsi="Courier New"/>
                <w:color w:val="1A1A1A"/>
                <w:sz w:val="20"/>
                <w:szCs w:val="20"/>
              </w:rPr>
              <w:t xml:space="preserve">YELLOW       | Sustained pattern + score 0.35-0.50                 | Log only</w:t>
            </w:r>
          </w:p>
          <w:p>
            <w:pPr>
              <w:spacing w:after="60" w:before="60"/>
            </w:pPr>
            <w:r>
              <w:rPr>
                <w:rFonts w:ascii="Courier New" w:cs="Courier New" w:eastAsia="Courier New" w:hAnsi="Courier New"/>
                <w:color w:val="1A1A1A"/>
                <w:sz w:val="20"/>
                <w:szCs w:val="20"/>
              </w:rPr>
              <w:t xml:space="preserve">ORANGE       | Sustained pattern + score 0.50-0.65                 | Push notification</w:t>
            </w:r>
          </w:p>
          <w:p>
            <w:pPr>
              <w:spacing w:after="60" w:before="60"/>
            </w:pPr>
            <w:r>
              <w:rPr>
                <w:rFonts w:ascii="Courier New" w:cs="Courier New" w:eastAsia="Courier New" w:hAnsi="Courier New"/>
                <w:color w:val="1A1A1A"/>
                <w:sz w:val="20"/>
                <w:szCs w:val="20"/>
              </w:rPr>
              <w:t xml:space="preserve">RED          | Sustained pattern + score &gt; 0.65 + critical feature | Urgent notification</w:t>
            </w:r>
          </w:p>
        </w:tc>
      </w:tr>
    </w:tbl>
    <w:p>
      <w:pPr>
        <w:spacing w:after="160" w:before="60"/>
        <w:jc w:val="center"/>
      </w:pPr>
      <w:r>
        <w:rPr>
          <w:rFonts w:ascii="Arial" w:cs="Arial" w:eastAsia="Arial" w:hAnsi="Arial"/>
          <w:i/>
          <w:iCs/>
          <w:color w:val="595959"/>
          <w:sz w:val="18"/>
          <w:szCs w:val="18"/>
        </w:rPr>
        <w:t xml:space="preserve">Figure 2: Alert escalation matrix. All levels above GREEN require sustained pattern.</w:t>
      </w:r>
    </w:p>
    <w:p>
      <w:pPr>
        <w:pStyle w:val="Heading2"/>
        <w:spacing w:after="120" w:before="280"/>
      </w:pPr>
      <w:r>
        <w:rPr>
          <w:rFonts w:ascii="Arial" w:cs="Arial" w:eastAsia="Arial" w:hAnsi="Arial"/>
          <w:b/>
          <w:bCs/>
          <w:color w:val="2E75B6"/>
          <w:sz w:val="26"/>
          <w:szCs w:val="26"/>
        </w:rPr>
        <w:t xml:space="preserve">6.8 Dual Tracking: Real-Time vs. Retrospective</w:t>
      </w:r>
    </w:p>
    <w:p>
      <w:pPr>
        <w:spacing w:after="120" w:before="80"/>
        <w:jc w:val="both"/>
      </w:pPr>
      <w:r>
        <w:rPr>
          <w:rFonts w:ascii="Arial" w:cs="Arial" w:eastAsia="Arial" w:hAnsi="Arial"/>
          <w:sz w:val="22"/>
          <w:szCs w:val="22"/>
        </w:rPr>
        <w:t xml:space="preserve">System 1 maintains two parallel tracking states with different sensitivity/specificity tradeoffs. The real-time state (used for alert generation) uses conservative thresholds to minimize false positive notifications. The retrospective peak state (used for validation reporting) tracks the maximum evidence and sustained days reached during the entire monitoring period, enabling detection of episodes that resolved before the user was alerted.</w:t>
      </w:r>
    </w:p>
    <w:p>
      <w:pPr>
        <w:spacing w:after="120" w:before="80"/>
        <w:jc w:val="both"/>
      </w:pPr>
      <w:r>
        <w:rPr>
          <w:rFonts w:ascii="Arial" w:cs="Arial" w:eastAsia="Arial" w:hAnsi="Arial"/>
          <w:sz w:val="22"/>
          <w:szCs w:val="22"/>
        </w:rPr>
        <w:t xml:space="preserve">This dual-state design addresses a fundamental tension in clinical monitoring: real-time systems must maintain user trust by minimizing false alarms, while validation and research require capturing all clinically significant episodes regardless of when they occurred. The peak thresholds (PEAK_EVIDENCE_THRESHOLD=2.7, PEAK_SUSTAINED_THRESHOLD_DAYS=5) are deliberately stricter than real-time thresholds, ensuring retrospective validation counts only well-evidenced episodes.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7. System 2: Behavioral Prototype Classification</w:t>
      </w:r>
    </w:p>
    <w:p>
      <w:pPr>
        <w:pStyle w:val="Heading2"/>
        <w:spacing w:after="120" w:before="280"/>
      </w:pPr>
      <w:r>
        <w:rPr>
          <w:rFonts w:ascii="Arial" w:cs="Arial" w:eastAsia="Arial" w:hAnsi="Arial"/>
          <w:b/>
          <w:bCs/>
          <w:color w:val="2E75B6"/>
          <w:sz w:val="26"/>
          <w:szCs w:val="26"/>
        </w:rPr>
        <w:t xml:space="preserve">7.1 Design Goal and Scope</w:t>
      </w:r>
    </w:p>
    <w:p>
      <w:pPr>
        <w:spacing w:after="120" w:before="80"/>
        <w:jc w:val="both"/>
      </w:pPr>
      <w:r>
        <w:rPr>
          <w:rFonts w:ascii="Arial" w:cs="Arial" w:eastAsia="Arial" w:hAnsi="Arial"/>
          <w:sz w:val="22"/>
          <w:szCs w:val="22"/>
        </w:rPr>
        <w:t xml:space="preserve">System 2 receives a confirmed anomaly from System 1 and attempts to classify the pattern into one of several clinically-grounded behavioral archetypes: depression (insomnia subtype), depression (hypersomnia subtype), anxiety, borderline personality disorder cycling, or schizophrenia-spectrum disorder. This classification is not a diagnosis — it is a description of which behavioral prototype most closely matches the observed pattern, intended to inform (not replace) clinical assessment.</w:t>
      </w:r>
    </w:p>
    <w:p>
      <w:pPr>
        <w:spacing w:after="120" w:before="80"/>
        <w:jc w:val="both"/>
      </w:pPr>
      <w:r>
        <w:rPr>
          <w:rFonts w:ascii="Arial" w:cs="Arial" w:eastAsia="Arial" w:hAnsi="Arial"/>
          <w:sz w:val="22"/>
          <w:szCs w:val="22"/>
        </w:rPr>
        <w:t xml:space="preserve">System 2 is explicitly gated: it only runs after System 1 confirms a sustained anomaly. This two-stage architecture prevents System 2 from generating spurious classifications on normal behavior variation.</w:t>
      </w:r>
    </w:p>
    <w:p>
      <w:pPr>
        <w:pStyle w:val="Heading2"/>
        <w:spacing w:after="120" w:before="280"/>
      </w:pPr>
      <w:r>
        <w:rPr>
          <w:rFonts w:ascii="Arial" w:cs="Arial" w:eastAsia="Arial" w:hAnsi="Arial"/>
          <w:b/>
          <w:bCs/>
          <w:color w:val="2E75B6"/>
          <w:sz w:val="26"/>
          <w:szCs w:val="26"/>
        </w:rPr>
        <w:t xml:space="preserve">7.2 Dual-Frame Reference Architecture</w:t>
      </w:r>
    </w:p>
    <w:p>
      <w:pPr>
        <w:spacing w:after="120" w:before="80"/>
        <w:jc w:val="both"/>
      </w:pPr>
      <w:r>
        <w:rPr>
          <w:rFonts w:ascii="Arial" w:cs="Arial" w:eastAsia="Arial" w:hAnsi="Arial"/>
          <w:sz w:val="22"/>
          <w:szCs w:val="22"/>
        </w:rPr>
        <w:t xml:space="preserve">System 2 operates in one of two reference frames, selected based on baseline quality:</w:t>
      </w:r>
    </w:p>
    <w:p>
      <w:pPr>
        <w:pStyle w:val="ListParagraph"/>
        <w:numPr>
          <w:ilvl w:val="0"/>
          <w:numId w:val="2"/>
        </w:numPr>
        <w:spacing w:after="60" w:before="60"/>
      </w:pPr>
      <w:r>
        <w:rPr>
          <w:rFonts w:ascii="Arial" w:cs="Arial" w:eastAsia="Arial" w:hAnsi="Arial"/>
          <w:sz w:val="22"/>
          <w:szCs w:val="22"/>
        </w:rPr>
        <w:t xml:space="preserve">Frame 2 (Personal Baseline): The default mode. Deviation vectors are z-scores against the user's personal baseline. Prototype vectors are expressed in standard deviation units, representing typical clinical presentations as deviations from a person's own normal.</w:t>
      </w:r>
    </w:p>
    <w:p>
      <w:pPr>
        <w:pStyle w:val="ListParagraph"/>
        <w:numPr>
          <w:ilvl w:val="0"/>
          <w:numId w:val="2"/>
        </w:numPr>
        <w:spacing w:after="60" w:before="60"/>
      </w:pPr>
      <w:r>
        <w:rPr>
          <w:rFonts w:ascii="Arial" w:cs="Arial" w:eastAsia="Arial" w:hAnsi="Arial"/>
          <w:sz w:val="22"/>
          <w:szCs w:val="22"/>
        </w:rPr>
        <w:t xml:space="preserve">Frame 1 (Population Anchor): Fallback mode, activated when the baseline is suspected to be contaminated. Deviation vectors are raw absolute feature values normalized against population norms from the healthy cohort (calibrated from StudentLife PHQ-9 &lt; 5, n=27).</w:t>
      </w:r>
    </w:p>
    <w:p>
      <w:pPr>
        <w:spacing w:after="120" w:before="80"/>
        <w:jc w:val="both"/>
      </w:pPr>
      <w:r>
        <w:rPr>
          <w:rFonts w:ascii="Arial" w:cs="Arial" w:eastAsia="Arial" w:hAnsi="Arial"/>
          <w:sz w:val="22"/>
          <w:szCs w:val="22"/>
        </w:rPr>
        <w:t xml:space="preserve">This dual-frame approach is the architectural solution to the baseline contamination problem described in Section 8. It preserves the idiographic benefits of personal-baseline analysis for clean baselines while providing a degraded-but-useful population-anchored fallback for contaminated ones.</w:t>
      </w:r>
    </w:p>
    <w:p>
      <w:pPr>
        <w:pStyle w:val="Heading2"/>
        <w:spacing w:after="120" w:before="280"/>
      </w:pPr>
      <w:r>
        <w:rPr>
          <w:rFonts w:ascii="Arial" w:cs="Arial" w:eastAsia="Arial" w:hAnsi="Arial"/>
          <w:b/>
          <w:bCs/>
          <w:color w:val="2E75B6"/>
          <w:sz w:val="26"/>
          <w:szCs w:val="26"/>
        </w:rPr>
        <w:t xml:space="preserve">7.3 Prototype Distance Scoring</w:t>
      </w:r>
    </w:p>
    <w:p>
      <w:pPr>
        <w:spacing w:after="120" w:before="80"/>
        <w:jc w:val="both"/>
      </w:pPr>
      <w:r>
        <w:rPr>
          <w:rFonts w:ascii="Arial" w:cs="Arial" w:eastAsia="Arial" w:hAnsi="Arial"/>
          <w:sz w:val="22"/>
          <w:szCs w:val="22"/>
        </w:rPr>
        <w:t xml:space="preserve">For each disorder prototype d, a match score is computed as the inverse of the weighted Euclidean distance between the user's deviation vector and the prototype vector:</w:t>
      </w:r>
    </w:p>
    <w:p>
      <w:pPr>
        <w:shd w:fill="F7F7F7" w:val="clear"/>
        <w:spacing w:after="120" w:before="120"/>
        <w:jc w:val="center"/>
      </w:pPr>
      <w:r>
        <w:rPr>
          <w:rFonts w:ascii="Courier New" w:cs="Courier New" w:eastAsia="Courier New" w:hAnsi="Courier New"/>
          <w:color w:val="333333"/>
          <w:sz w:val="22"/>
          <w:szCs w:val="22"/>
        </w:rPr>
        <w:t xml:space="preserve">dist(u, p_d) = sqrt( sum_f [ w_f · (u_f - p_{d,f})^2 · penalty(u_f, p_{d,f}) ] )</w:t>
      </w:r>
    </w:p>
    <w:p>
      <w:pPr>
        <w:shd w:fill="F7F7F7" w:val="clear"/>
        <w:spacing w:after="120" w:before="120"/>
        <w:jc w:val="center"/>
      </w:pPr>
      <w:r>
        <w:rPr>
          <w:rFonts w:ascii="Courier New" w:cs="Courier New" w:eastAsia="Courier New" w:hAnsi="Courier New"/>
          <w:color w:val="333333"/>
          <w:sz w:val="22"/>
          <w:szCs w:val="22"/>
        </w:rPr>
        <w:t xml:space="preserve">score_d = 1 / (1 + dist(u, p_d) / W_sum)</w:t>
      </w:r>
    </w:p>
    <w:p>
      <w:pPr>
        <w:spacing w:after="120" w:before="80"/>
        <w:jc w:val="both"/>
      </w:pPr>
      <w:r>
        <w:rPr>
          <w:rFonts w:ascii="Arial" w:cs="Arial" w:eastAsia="Arial" w:hAnsi="Arial"/>
          <w:sz w:val="22"/>
          <w:szCs w:val="22"/>
        </w:rPr>
        <w:t xml:space="preserve">where w_f is the feature's diagnostic weight, W_sum is the total weight sum (normalizing for missing features), and penalty(u, p) applies a 5× penalty to sign mismatches on features where both the user and prototype have deviations &gt; 0.3 SD. The sign penalty is critical for distinguishing depression (typically negative deviations in social and mobility features) from mania (positive deviations in the same features).</w:t>
      </w:r>
    </w:p>
    <w:p>
      <w:pPr>
        <w:pStyle w:val="Heading2"/>
        <w:spacing w:after="120" w:before="280"/>
      </w:pPr>
      <w:r>
        <w:rPr>
          <w:rFonts w:ascii="Arial" w:cs="Arial" w:eastAsia="Arial" w:hAnsi="Arial"/>
          <w:b/>
          <w:bCs/>
          <w:color w:val="2E75B6"/>
          <w:sz w:val="26"/>
          <w:szCs w:val="26"/>
        </w:rPr>
        <w:t xml:space="preserve">7.4 Temporal Shape Validation</w:t>
      </w:r>
    </w:p>
    <w:p>
      <w:pPr>
        <w:spacing w:after="120" w:before="80"/>
        <w:jc w:val="both"/>
      </w:pPr>
      <w:r>
        <w:rPr>
          <w:rFonts w:ascii="Arial" w:cs="Arial" w:eastAsia="Arial" w:hAnsi="Arial"/>
          <w:sz w:val="22"/>
          <w:szCs w:val="22"/>
        </w:rPr>
        <w:t xml:space="preserve">After prototype matching, the classification is validated against the temporal shape of the 60-day anomaly score time-series. Five temporal shapes are recognized, each associated with different disorder profiles: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Detection Criterion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Associated Disorders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monotonic_drift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slope &lt; -0.001, R² &gt; 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boost ×1.2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oscillating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Autocorrelation peak at lag 3-10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BPD, Bipolar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 boost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chaotic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variance + low lag-1 autocorrelation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Schizophrenia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boost ×1.2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episodic_spike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peak &gt; 2SD, recovery within 14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Anxiety, PTSD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 boost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phase_flip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mean shift &gt; 2SD between consecutive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Bipolar Manic Switch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boost ×1.2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[contradiction]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Shape inconsistent with top match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 downgrade ×0.6</w:t>
            </w:r>
          </w:p>
        </w:tc>
      </w:tr>
    </w:tbl>
    <w:p>
      <w:pPr>
        <w:spacing w:after="160" w:before="60"/>
        <w:jc w:val="center"/>
      </w:pPr>
      <w:r>
        <w:rPr>
          <w:rFonts w:ascii="Arial" w:cs="Arial" w:eastAsia="Arial" w:hAnsi="Arial"/>
          <w:i/>
          <w:iCs/>
          <w:color w:val="595959"/>
          <w:sz w:val="18"/>
          <w:szCs w:val="18"/>
        </w:rPr>
        <w:t xml:space="preserve">Table 3: Temporal shape detection criteria and confidence adjustment factors.</w:t>
      </w:r>
    </w:p>
    <w:p>
      <w:pPr>
        <w:pStyle w:val="Heading2"/>
        <w:spacing w:after="120" w:before="280"/>
      </w:pPr>
      <w:r>
        <w:rPr>
          <w:rFonts w:ascii="Arial" w:cs="Arial" w:eastAsia="Arial" w:hAnsi="Arial"/>
          <w:b/>
          <w:bCs/>
          <w:color w:val="2E75B6"/>
          <w:sz w:val="26"/>
          <w:szCs w:val="26"/>
        </w:rPr>
        <w:t xml:space="preserve">7.5 Life Event Filter</w:t>
      </w:r>
    </w:p>
    <w:p>
      <w:pPr>
        <w:spacing w:after="120" w:before="80"/>
        <w:jc w:val="both"/>
      </w:pPr>
      <w:r>
        <w:rPr>
          <w:rFonts w:ascii="Arial" w:cs="Arial" w:eastAsia="Arial" w:hAnsi="Arial"/>
          <w:sz w:val="22"/>
          <w:szCs w:val="22"/>
        </w:rPr>
        <w:t xml:space="preserve">Before prototype matching, the anomaly report passes through a life event pre-filter that dismisses patterns likely attributable to situational life events (exam stress, bereavement, illness, travel) rather than clinical conditions. Three dismissal rules are applied in sequence:</w:t>
      </w:r>
    </w:p>
    <w:p>
      <w:pPr>
        <w:pStyle w:val="ListParagraph"/>
        <w:numPr>
          <w:ilvl w:val="0"/>
          <w:numId w:val="3"/>
        </w:numPr>
        <w:spacing w:after="60" w:before="60"/>
      </w:pPr>
      <w:r>
        <w:rPr>
          <w:rFonts w:ascii="Arial" w:cs="Arial" w:eastAsia="Arial" w:hAnsi="Arial"/>
          <w:sz w:val="22"/>
          <w:szCs w:val="22"/>
        </w:rPr>
        <w:t xml:space="preserve">Co-deviation gate: If fewer than 3 features are simultaneously deviating beyond 1.0 SD, the anomaly is likely isolated rather than syndromal and is dismissed.</w:t>
      </w:r>
    </w:p>
    <w:p>
      <w:pPr>
        <w:pStyle w:val="ListParagraph"/>
        <w:numPr>
          <w:ilvl w:val="0"/>
          <w:numId w:val="3"/>
        </w:numPr>
        <w:spacing w:after="60" w:before="60"/>
      </w:pPr>
      <w:r>
        <w:rPr>
          <w:rFonts w:ascii="Arial" w:cs="Arial" w:eastAsia="Arial" w:hAnsi="Arial"/>
          <w:sz w:val="22"/>
          <w:szCs w:val="22"/>
        </w:rPr>
        <w:t xml:space="preserve">Self-resolution gate: If the anomaly resolved within 10 days of onset, it matches the transient profile of a life event response rather than a clinical episode.</w:t>
      </w:r>
    </w:p>
    <w:p>
      <w:pPr>
        <w:pStyle w:val="ListParagraph"/>
        <w:numPr>
          <w:ilvl w:val="0"/>
          <w:numId w:val="3"/>
        </w:numPr>
        <w:spacing w:after="60" w:before="60"/>
      </w:pPr>
      <w:r>
        <w:rPr>
          <w:rFonts w:ascii="Arial" w:cs="Arial" w:eastAsia="Arial" w:hAnsi="Arial"/>
          <w:sz w:val="22"/>
          <w:szCs w:val="22"/>
        </w:rPr>
        <w:t xml:space="preserve">Severity floor: If no feature exceeds 1.5 SD deviation, the pattern is too mild for prototype classification.</w:t>
      </w:r>
    </w:p>
    <w:p>
      <w:pPr>
        <w:pStyle w:val="Heading2"/>
        <w:spacing w:after="120" w:before="280"/>
      </w:pPr>
      <w:r>
        <w:rPr>
          <w:rFonts w:ascii="Arial" w:cs="Arial" w:eastAsia="Arial" w:hAnsi="Arial"/>
          <w:b/>
          <w:bCs/>
          <w:color w:val="2E75B6"/>
          <w:sz w:val="26"/>
          <w:szCs w:val="26"/>
        </w:rPr>
        <w:t xml:space="preserve">7.6 Clinical Guardrails</w:t>
      </w:r>
    </w:p>
    <w:p>
      <w:pPr>
        <w:spacing w:after="120" w:before="80"/>
        <w:jc w:val="both"/>
      </w:pPr>
      <w:r>
        <w:rPr>
          <w:rFonts w:ascii="Arial" w:cs="Arial" w:eastAsia="Arial" w:hAnsi="Arial"/>
          <w:sz w:val="22"/>
          <w:szCs w:val="22"/>
        </w:rPr>
        <w:t xml:space="preserve">Two hard clinical override rules are implemented above the geometric prototype matcher to handle presentations that centroid-matching systematically underperforms on — a pattern documented in clinical decision support literature (Meehl, 1954; Grove &amp; Meehl, 2000):</w:t>
      </w:r>
    </w:p>
    <w:p>
      <w:pPr>
        <w:pStyle w:val="ListParagraph"/>
        <w:numPr>
          <w:ilvl w:val="0"/>
          <w:numId w:val="2"/>
        </w:numPr>
        <w:spacing w:after="60" w:before="60"/>
      </w:pPr>
      <w:r>
        <w:rPr>
          <w:rFonts w:ascii="Arial" w:cs="Arial" w:eastAsia="Arial" w:hAnsi="Arial"/>
          <w:sz w:val="22"/>
          <w:szCs w:val="22"/>
        </w:rPr>
        <w:t xml:space="preserve">Psychosis Cluster Override: If 2 or more psychosis-specific features (location_entropy, daily_displacement_km, sleep_time_hour, calls_per_day) exceed 1.5 SD, the pattern is classified as schizophrenia-spectrum regardless of prototype distance. Basis: co-occurring disruption across these specific features is highly specific for psychosis-spectrum disorders (Barnett et al., 2018).</w:t>
      </w:r>
    </w:p>
    <w:p>
      <w:pPr>
        <w:pStyle w:val="ListParagraph"/>
        <w:numPr>
          <w:ilvl w:val="0"/>
          <w:numId w:val="2"/>
        </w:numPr>
        <w:spacing w:after="60" w:before="60"/>
      </w:pPr>
      <w:r>
        <w:rPr>
          <w:rFonts w:ascii="Arial" w:cs="Arial" w:eastAsia="Arial" w:hAnsi="Arial"/>
          <w:sz w:val="22"/>
          <w:szCs w:val="22"/>
        </w:rPr>
        <w:t xml:space="preserve">Social Withdrawal Override: If 2 or more communication features (calls_per_day, conversation_duration_hours, conversation_frequency) drop below -1.2 SD below personal baseline, and optionally mobility also drops, the pattern is classified as depression. Basis: multi-channel social withdrawal is the highest-sensitivity behavioral biomarker for depressive episodes (Canzian &amp; Musolesi, 2015).</w:t>
      </w:r>
    </w:p>
    <w:p>
      <w:pPr>
        <w:spacing w:after="120" w:before="80"/>
        <w:jc w:val="both"/>
      </w:pPr>
      <w:r>
        <w:rPr>
          <w:rFonts w:ascii="Arial" w:cs="Arial" w:eastAsia="Arial" w:hAnsi="Arial"/>
          <w:sz w:val="22"/>
          <w:szCs w:val="22"/>
        </w:rPr>
        <w:t xml:space="preserve">These overrides are dataset-agnostic, clinically traceable, and narrow in scope — they apply only to specific high-signal clinical clusters that the general distance metric systematically misses due to the curse of dimensionality in the full feature space.</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8. The Baseline Contamination Problem</w:t>
      </w:r>
    </w:p>
    <w:p>
      <w:pPr>
        <w:pStyle w:val="Heading2"/>
        <w:spacing w:after="120" w:before="280"/>
      </w:pPr>
      <w:r>
        <w:rPr>
          <w:rFonts w:ascii="Arial" w:cs="Arial" w:eastAsia="Arial" w:hAnsi="Arial"/>
          <w:b/>
          <w:bCs/>
          <w:color w:val="2E75B6"/>
          <w:sz w:val="26"/>
          <w:szCs w:val="26"/>
        </w:rPr>
        <w:t xml:space="preserve">8.1 Problem Statement</w:t>
      </w:r>
    </w:p>
    <w:p>
      <w:pPr>
        <w:spacing w:after="120" w:before="80"/>
        <w:jc w:val="both"/>
      </w:pPr>
      <w:r>
        <w:rPr>
          <w:rFonts w:ascii="Arial" w:cs="Arial" w:eastAsia="Arial" w:hAnsi="Arial"/>
          <w:sz w:val="22"/>
          <w:szCs w:val="22"/>
        </w:rPr>
        <w:t xml:space="preserve">The idiographic approach depends critically on a behavioral fingerprint that reflects the user's normal healthy state. If the user installs the application during an active depressive episode, the 28-day calibration window captures depressed behavior as the baseline. Subsequent monitoring against this contaminated baseline will either (a) fail to detect ongoing depression because the depressed state matches the baseline, or (b) paradoxically flag recovery as an anomaly because the returning healthy behavior deviates from the depressed baseline.</w:t>
      </w:r>
    </w:p>
    <w:p>
      <w:pPr>
        <w:spacing w:after="120" w:before="80"/>
        <w:jc w:val="both"/>
      </w:pPr>
      <w:r>
        <w:rPr>
          <w:rFonts w:ascii="Arial" w:cs="Arial" w:eastAsia="Arial" w:hAnsi="Arial"/>
          <w:sz w:val="22"/>
          <w:szCs w:val="22"/>
        </w:rPr>
        <w:t xml:space="preserve">This is a fundamental limitation of any personal-baseline approach in deployment. Unlike a controlled research study where participants can be screened at enrollment, a consumer app cannot require or verify mental health status at install time. We estimate approximately 5-10% of new users may be in an active episode at installation, based on population prevalence rates.</w:t>
      </w:r>
    </w:p>
    <w:p>
      <w:pPr>
        <w:pStyle w:val="Heading2"/>
        <w:spacing w:after="120" w:before="280"/>
      </w:pPr>
      <w:r>
        <w:rPr>
          <w:rFonts w:ascii="Arial" w:cs="Arial" w:eastAsia="Arial" w:hAnsi="Arial"/>
          <w:b/>
          <w:bCs/>
          <w:color w:val="2E75B6"/>
          <w:sz w:val="26"/>
          <w:szCs w:val="26"/>
        </w:rPr>
        <w:t xml:space="preserve">8.2 Our Position: Explicit Scope Definition</w:t>
      </w:r>
    </w:p>
    <w:p>
      <w:pPr>
        <w:spacing w:after="120" w:before="80"/>
        <w:jc w:val="both"/>
      </w:pPr>
      <w:r>
        <w:rPr>
          <w:rFonts w:ascii="Arial" w:cs="Arial" w:eastAsia="Arial" w:hAnsi="Arial"/>
          <w:sz w:val="22"/>
          <w:szCs w:val="22"/>
        </w:rPr>
        <w:t xml:space="preserve">After extensive deliberation, MHealth adopts an explicit product scope decision: the primary target user is someone who installs the application in a behaviorally stable state and is at risk of future episodes. Users who install during an active episode are outside the system's primary scope. This is not a dismissal of their needs — it is an acknowledgment that reliably detecting contamination without labeled training data is mathematically intractable with 28-day baselines.</w:t>
      </w:r>
    </w:p>
    <w:p>
      <w:pPr>
        <w:spacing w:after="120" w:before="80"/>
        <w:jc w:val="both"/>
      </w:pPr>
      <w:r>
        <w:rPr>
          <w:rFonts w:ascii="Arial" w:cs="Arial" w:eastAsia="Arial" w:hAnsi="Arial"/>
          <w:sz w:val="22"/>
          <w:szCs w:val="22"/>
        </w:rPr>
        <w:t xml:space="preserve">The consequence for users outside scope: the system will not raise false negative alerts telling them they are healthy. In the absence of a deviating signal, no alert is generated. This is the appropriate failure mode — silence rather than incorrect reassurance. No user should interpret the absence of an alert as a clinical endorsement of their mental health status.</w:t>
      </w:r>
    </w:p>
    <w:p>
      <w:pPr>
        <w:pStyle w:val="Heading2"/>
        <w:spacing w:after="120" w:before="280"/>
      </w:pPr>
      <w:r>
        <w:rPr>
          <w:rFonts w:ascii="Arial" w:cs="Arial" w:eastAsia="Arial" w:hAnsi="Arial"/>
          <w:b/>
          <w:bCs/>
          <w:color w:val="2E75B6"/>
          <w:sz w:val="26"/>
          <w:szCs w:val="26"/>
        </w:rPr>
        <w:t xml:space="preserve">8.3 The Three-Gate Contamination Screener</w:t>
      </w:r>
    </w:p>
    <w:p>
      <w:pPr>
        <w:spacing w:after="120" w:before="80"/>
        <w:jc w:val="both"/>
      </w:pPr>
      <w:r>
        <w:rPr>
          <w:rFonts w:ascii="Arial" w:cs="Arial" w:eastAsia="Arial" w:hAnsi="Arial"/>
          <w:sz w:val="22"/>
          <w:szCs w:val="22"/>
        </w:rPr>
        <w:t xml:space="preserve">Despite the above position, System 2 implements a best-effort contamination screening mechanism: the BaselineScreener, which applies three sequential tests during the 28-day calibration window.</w:t>
      </w:r>
    </w:p>
    <w:p>
      <w:pPr>
        <w:pStyle w:val="ListParagraph"/>
        <w:numPr>
          <w:ilvl w:val="0"/>
          <w:numId w:val="2"/>
        </w:numPr>
        <w:spacing w:after="60" w:before="60"/>
      </w:pPr>
      <w:r>
        <w:rPr>
          <w:rFonts w:ascii="Arial" w:cs="Arial" w:eastAsia="Arial" w:hAnsi="Arial"/>
          <w:sz w:val="22"/>
          <w:szCs w:val="22"/>
        </w:rPr>
        <w:t xml:space="preserve">Gate 1 — Population Anchor Check (Day 7): Compares the first-week feature averages against healthy population norms. If 3 or more features deviate by more than 2.5 population standard deviations from the healthy mean, the baseline is flagged as possibly contaminated. This gate uses population data — the one context in which population norms are legitimately informative, since we are making a coarse binary determination (probably healthy vs. probably not) rather than predicting specific behavior.</w:t>
      </w:r>
    </w:p>
    <w:p>
      <w:pPr>
        <w:pStyle w:val="ListParagraph"/>
        <w:numPr>
          <w:ilvl w:val="0"/>
          <w:numId w:val="2"/>
        </w:numPr>
        <w:spacing w:after="60" w:before="60"/>
      </w:pPr>
      <w:r>
        <w:rPr>
          <w:rFonts w:ascii="Arial" w:cs="Arial" w:eastAsia="Arial" w:hAnsi="Arial"/>
          <w:sz w:val="22"/>
          <w:szCs w:val="22"/>
        </w:rPr>
        <w:t xml:space="preserve">Gate 2 — Internal Stability Check (Days 14-21): Computes week-over-week drift in each feature across three weekly windows. If 3 or more features drift more than 2× their expected population-level week-to-week variation, the baseline is flagged as unstable — consistent with either an active episode cycling or a life event contaminating the calibration period.</w:t>
      </w:r>
    </w:p>
    <w:p>
      <w:pPr>
        <w:pStyle w:val="ListParagraph"/>
        <w:numPr>
          <w:ilvl w:val="0"/>
          <w:numId w:val="2"/>
        </w:numPr>
        <w:spacing w:after="60" w:before="60"/>
      </w:pPr>
      <w:r>
        <w:rPr>
          <w:rFonts w:ascii="Arial" w:cs="Arial" w:eastAsia="Arial" w:hAnsi="Arial"/>
          <w:sz w:val="22"/>
          <w:szCs w:val="22"/>
        </w:rPr>
        <w:t xml:space="preserve">Gate 3 — Prototype Proximity Check (Day 28): Runs a Frame 1 (population-anchored) prototype match against the full 28-day averages. If the best-matching prototype is a disorder prototype (not healthy) with confidence above threshold, the baseline is flagged as contaminated.</w:t>
      </w:r>
    </w:p>
    <w:p>
      <w:pPr>
        <w:spacing w:after="120" w:before="80"/>
        <w:jc w:val="both"/>
      </w:pPr>
      <w:r>
        <w:rPr>
          <w:rFonts w:ascii="Arial" w:cs="Arial" w:eastAsia="Arial" w:hAnsi="Arial"/>
          <w:sz w:val="22"/>
          <w:szCs w:val="22"/>
        </w:rPr>
        <w:t xml:space="preserve">When contamination is detected, System 2 switches to Frame 1 reference for all subsequent analysis. Frame 1 is weaker (it relies on population norms rather than personal baseline) but provides meaningful signal for users whose 28-day behavior deviates substantially from population-healthy norms. The output in this mode is labeled [ONBOARDING DETECTION] to signal the reduced confidence.</w:t>
      </w:r>
    </w:p>
    <w:p>
      <w:pPr>
        <w:pStyle w:val="Heading2"/>
        <w:spacing w:after="120" w:before="280"/>
      </w:pPr>
      <w:r>
        <w:rPr>
          <w:rFonts w:ascii="Arial" w:cs="Arial" w:eastAsia="Arial" w:hAnsi="Arial"/>
          <w:b/>
          <w:bCs/>
          <w:color w:val="2E75B6"/>
          <w:sz w:val="26"/>
          <w:szCs w:val="26"/>
        </w:rPr>
        <w:t xml:space="preserve">8.4 Gate Decision Matrix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Gates Fired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LOCK_BASELINE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(Personal)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baseline — proceed normally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 1 only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EXTEND_MONITORING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(Personal)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week anomaly — may resolve; extend calibration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2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FLAG_CYCLING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(Personal)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Unstable but not clearly contaminated — flag for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 3 + Gate 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EARLY_DETECTION_WITH_SELF_REPORT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(Population)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Contaminated — use population frame, request self-report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3 + Gate 1 + Gate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CLINICAL_REVIEW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(Population)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contamination probability — escalate to clinical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 3 only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EARLY_DETECTION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(Population)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Late-onset contamination signal — switch to population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1 + Gate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EXTEND_MONITORING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(Personal)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Unstable first half — extend calibration window</w:t>
            </w:r>
          </w:p>
        </w:tc>
      </w:tr>
    </w:tbl>
    <w:p>
      <w:pPr>
        <w:spacing w:after="160" w:before="60"/>
        <w:jc w:val="center"/>
      </w:pPr>
      <w:r>
        <w:rPr>
          <w:rFonts w:ascii="Arial" w:cs="Arial" w:eastAsia="Arial" w:hAnsi="Arial"/>
          <w:i/>
          <w:iCs/>
          <w:color w:val="595959"/>
          <w:sz w:val="18"/>
          <w:szCs w:val="18"/>
        </w:rPr>
        <w:t xml:space="preserve">Table 4: Baseline screening decision matrix. Frame 1 = population-anchored; Frame 2 = personal baseline.</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9. Validation on StudentLife Dataset</w:t>
      </w:r>
    </w:p>
    <w:p>
      <w:pPr>
        <w:pStyle w:val="Heading2"/>
        <w:spacing w:after="120" w:before="280"/>
      </w:pPr>
      <w:r>
        <w:rPr>
          <w:rFonts w:ascii="Arial" w:cs="Arial" w:eastAsia="Arial" w:hAnsi="Arial"/>
          <w:b/>
          <w:bCs/>
          <w:color w:val="2E75B6"/>
          <w:sz w:val="26"/>
          <w:szCs w:val="26"/>
        </w:rPr>
        <w:t xml:space="preserve">9.1 Dataset Description</w:t>
      </w:r>
    </w:p>
    <w:p>
      <w:pPr>
        <w:spacing w:after="120" w:before="80"/>
        <w:jc w:val="both"/>
      </w:pPr>
      <w:r>
        <w:rPr>
          <w:rFonts w:ascii="Arial" w:cs="Arial" w:eastAsia="Arial" w:hAnsi="Arial"/>
          <w:sz w:val="22"/>
          <w:szCs w:val="22"/>
        </w:rPr>
        <w:t xml:space="preserve">The StudentLife dataset (Wang et al., 2014) comprises 10 weeks of continuous passive sensing data collected from 48 Dartmouth undergraduate and graduate students during a full academic term. Ground-truth mental health labels are provided via PHQ-9 questionnaires administered at the start and end of the study. 38 participants have complete PHQ-9 data and sufficient sensor coverage for validation. Depression is defined as PHQ-9 &gt; 9, yielding 7 clinically depressed participants (18.4% prevalence, slightly above the 12-17% 12-month prevalence in US college populations).</w:t>
      </w:r>
    </w:p>
    <w:p>
      <w:pPr>
        <w:pStyle w:val="Heading2"/>
        <w:spacing w:after="120" w:before="280"/>
      </w:pPr>
      <w:r>
        <w:rPr>
          <w:rFonts w:ascii="Arial" w:cs="Arial" w:eastAsia="Arial" w:hAnsi="Arial"/>
          <w:b/>
          <w:bCs/>
          <w:color w:val="2E75B6"/>
          <w:sz w:val="26"/>
          <w:szCs w:val="26"/>
        </w:rPr>
        <w:t xml:space="preserve">9.2 Validation Protocol</w:t>
      </w:r>
    </w:p>
    <w:p>
      <w:pPr>
        <w:spacing w:after="120" w:before="80"/>
        <w:jc w:val="both"/>
      </w:pPr>
      <w:r>
        <w:rPr>
          <w:rFonts w:ascii="Arial" w:cs="Arial" w:eastAsia="Arial" w:hAnsi="Arial"/>
          <w:sz w:val="22"/>
          <w:szCs w:val="22"/>
        </w:rPr>
        <w:t xml:space="preserve">For each participant, the first 28 days of sensor data form the baseline calibration window. The remaining days (approximately 42 days) constitute the monitoring window. The System 1 pipeline is run day-by-day through the monitoring window, accumulating evidence. The final anomaly score is the maximum anomaly score reached during monitoring (peak_anomaly_score), which correlates most directly with the PHQ-9 assessed at study end. Classification performance is measured using PHQ-9 &gt; 9 as the binary depression label.</w:t>
      </w:r>
    </w:p>
    <w:p>
      <w:pPr>
        <w:pStyle w:val="Heading2"/>
        <w:spacing w:after="120" w:before="280"/>
      </w:pPr>
      <w:r>
        <w:rPr>
          <w:rFonts w:ascii="Arial" w:cs="Arial" w:eastAsia="Arial" w:hAnsi="Arial"/>
          <w:b/>
          <w:bCs/>
          <w:color w:val="2E75B6"/>
          <w:sz w:val="26"/>
          <w:szCs w:val="26"/>
        </w:rPr>
        <w:t xml:space="preserve">9.3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Pearson r (PHQ-9 vs. Anomaly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positive correlation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p-value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0.033</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Statistically significant (α=0.05)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CI (Pearson 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[0.040, 0.653]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Bootstrap-derived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Bootstrap Median r (1000 iterations)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0.350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Robust to resampling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(ROC)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discrimination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Sensitivity (True Positive 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85.7%</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Detects 6 of 7 depressed students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Specificity (True Negative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Correctly clears 24 of 31 non-depressed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PPV (Precision)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 13 flagged, 6 are truly depressed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25 not flagged, 24 are truly healthy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Accuracy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78.9%</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 classification 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Students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with valid PHQ-9 + sensor data</w:t>
            </w:r>
          </w:p>
        </w:tc>
      </w:tr>
    </w:tbl>
    <w:p>
      <w:pPr>
        <w:spacing w:after="160" w:before="60"/>
        <w:jc w:val="center"/>
      </w:pPr>
      <w:r>
        <w:rPr>
          <w:rFonts w:ascii="Arial" w:cs="Arial" w:eastAsia="Arial" w:hAnsi="Arial"/>
          <w:i/>
          <w:iCs/>
          <w:color w:val="595959"/>
          <w:sz w:val="18"/>
          <w:szCs w:val="18"/>
        </w:rPr>
        <w:t xml:space="preserve">Table 5: System 1 validation results on StudentLife dataset (PHQ-9 &gt; 9 threshold).</w:t>
      </w:r>
    </w:p>
    <w:p>
      <w:pPr>
        <w:pStyle w:val="Heading2"/>
        <w:spacing w:after="120" w:before="280"/>
      </w:pPr>
      <w:r>
        <w:rPr>
          <w:rFonts w:ascii="Arial" w:cs="Arial" w:eastAsia="Arial" w:hAnsi="Arial"/>
          <w:b/>
          <w:bCs/>
          <w:color w:val="2E75B6"/>
          <w:sz w:val="26"/>
          <w:szCs w:val="26"/>
        </w:rPr>
        <w:t xml:space="preserve">9.4 Comparison to Related Work</w:t>
      </w:r>
    </w:p>
    <w:p>
      <w:pPr>
        <w:spacing w:after="120" w:before="80"/>
        <w:jc w:val="both"/>
      </w:pPr>
      <w:r>
        <w:rPr>
          <w:rFonts w:ascii="Arial" w:cs="Arial" w:eastAsia="Arial" w:hAnsi="Arial"/>
          <w:sz w:val="22"/>
          <w:szCs w:val="22"/>
        </w:rPr>
        <w:t xml:space="preserve">Direct comparison to published StudentLife results is complicated by varying preprocessing choices, feature sets, and validation protocols. Saeb et al. (2015) reported Pearson r=0.37-0.58 using regularized regression on location features alone, with cross-validation rather than temporal holdout. Farhan et al. (2016) reported AUC=0.81 with full feature sets. MHealth achieves r=0.346 and AUC=0.760 using zero labeled training data, no cross-dataset optimization, and a strictly temporal holdout protocol — making these results methodologically more conservative and arguably more representative of real-world performance.</w:t>
      </w:r>
    </w:p>
    <w:p>
      <w:pPr>
        <w:spacing w:after="120" w:before="80"/>
        <w:jc w:val="both"/>
      </w:pPr>
      <w:r>
        <w:rPr>
          <w:rFonts w:ascii="Arial" w:cs="Arial" w:eastAsia="Arial" w:hAnsi="Arial"/>
          <w:sz w:val="22"/>
          <w:szCs w:val="22"/>
        </w:rPr>
        <w:t xml:space="preserve">The sensitivity of 85.7% (6 of 7 depressed students detected) is particularly notable given the system's conservative evidence accumulation design. The single missed case (u17, PHQ-9=13/18) shows a relatively low anomaly score despite moderate-severe depression, which the feature analysis suggests is partly attributable to incomplete mobility sensor coverage for this participant.</w:t>
      </w:r>
    </w:p>
    <w:p>
      <w:pPr>
        <w:pStyle w:val="Heading2"/>
        <w:spacing w:after="120" w:before="280"/>
      </w:pPr>
      <w:r>
        <w:rPr>
          <w:rFonts w:ascii="Arial" w:cs="Arial" w:eastAsia="Arial" w:hAnsi="Arial"/>
          <w:b/>
          <w:bCs/>
          <w:color w:val="2E75B6"/>
          <w:sz w:val="26"/>
          <w:szCs w:val="26"/>
        </w:rPr>
        <w:t xml:space="preserve">9.5 Discussion of Performance</w:t>
      </w:r>
    </w:p>
    <w:p>
      <w:pPr>
        <w:spacing w:after="120" w:before="80"/>
        <w:jc w:val="both"/>
      </w:pPr>
      <w:r>
        <w:rPr>
          <w:rFonts w:ascii="Arial" w:cs="Arial" w:eastAsia="Arial" w:hAnsi="Arial"/>
          <w:sz w:val="22"/>
          <w:szCs w:val="22"/>
        </w:rPr>
        <w:t xml:space="preserve">The PPV of 46.2% — meaning roughly half of system flags are false positives — warrants attention. In the context of early detection for a consumer app, this rate must be evaluated against the cost structure: a false positive results in a user receiving a behavioral observation notification that they can disregard; a false negative results in a depressive episode going undetected. Given this asymmetric cost structure, and given that the notification is framed as an observation rather than a diagnosis, the 85.7% sensitivity at 46.2% PPV represents a reasonable operating point for the primary use case.</w:t>
      </w:r>
    </w:p>
    <w:p>
      <w:pPr>
        <w:spacing w:after="120" w:before="80"/>
        <w:jc w:val="both"/>
      </w:pPr>
      <w:r>
        <w:rPr>
          <w:rFonts w:ascii="Arial" w:cs="Arial" w:eastAsia="Arial" w:hAnsi="Arial"/>
          <w:sz w:val="22"/>
          <w:szCs w:val="22"/>
        </w:rPr>
        <w:t xml:space="preserve">The r=0.346 correlation, while classified as weak-to-moderate by conventional rubrics, compares favorably to published results from systems using far more complex architectures and labeled training data. This outcome supports the theoretical argument that idiographic models with appropriate temporal design can match or exceed nomothetic ML models on personalized health prediction tasks.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10. Discussion</w:t>
      </w:r>
    </w:p>
    <w:p>
      <w:pPr>
        <w:pStyle w:val="Heading2"/>
        <w:spacing w:after="120" w:before="280"/>
      </w:pPr>
      <w:r>
        <w:rPr>
          <w:rFonts w:ascii="Arial" w:cs="Arial" w:eastAsia="Arial" w:hAnsi="Arial"/>
          <w:b/>
          <w:bCs/>
          <w:color w:val="2E75B6"/>
          <w:sz w:val="26"/>
          <w:szCs w:val="26"/>
        </w:rPr>
        <w:t xml:space="preserve">10.1 The Case for Mathematical Simplicity</w:t>
      </w:r>
    </w:p>
    <w:p>
      <w:pPr>
        <w:spacing w:after="120" w:before="80"/>
        <w:jc w:val="both"/>
      </w:pPr>
      <w:r>
        <w:rPr>
          <w:rFonts w:ascii="Arial" w:cs="Arial" w:eastAsia="Arial" w:hAnsi="Arial"/>
          <w:sz w:val="22"/>
          <w:szCs w:val="22"/>
        </w:rPr>
        <w:t xml:space="preserve">A recurring theme in this work is the superiority of simple mathematical models over complex ML approaches when applied to the small-n, high-dimensional regime of personalized behavioral sensing. Every ML approach tested — including One-Class SVM, Isolation Forest, and LSTM Autoencoders trained on individual 28-day baselines — produced inferior results. This finding is consistent with extensive literature on the bias-variance tradeoff and should not be surprising to practitioners familiar with the conditions under which ML excels.</w:t>
      </w:r>
    </w:p>
    <w:p>
      <w:pPr>
        <w:spacing w:after="120" w:before="80"/>
        <w:jc w:val="both"/>
      </w:pPr>
      <w:r>
        <w:rPr>
          <w:rFonts w:ascii="Arial" w:cs="Arial" w:eastAsia="Arial" w:hAnsi="Arial"/>
          <w:sz w:val="22"/>
          <w:szCs w:val="22"/>
        </w:rPr>
        <w:t xml:space="preserve">ML models require sufficient data to constrain their variance. With 28 data points in a 17-29 dimensional space, no ML model can reliably distinguish the signal of personal behavioral change from noise. The manual z-score system, by contrast, makes a single strong assumption (the deviation from personal baseline is meaningful) and applies it consistently. This assumption is correct in expectation; ML models cannot reliably learn this from 28 points.</w:t>
      </w:r>
    </w:p>
    <w:p>
      <w:pPr>
        <w:pStyle w:val="Heading2"/>
        <w:spacing w:after="120" w:before="280"/>
      </w:pPr>
      <w:r>
        <w:rPr>
          <w:rFonts w:ascii="Arial" w:cs="Arial" w:eastAsia="Arial" w:hAnsi="Arial"/>
          <w:b/>
          <w:bCs/>
          <w:color w:val="2E75B6"/>
          <w:sz w:val="26"/>
          <w:szCs w:val="26"/>
        </w:rPr>
        <w:t xml:space="preserve">10.2 Staged Architecture as the Path Forward</w:t>
      </w:r>
    </w:p>
    <w:p>
      <w:pPr>
        <w:spacing w:after="120" w:before="80"/>
        <w:jc w:val="both"/>
      </w:pPr>
      <w:r>
        <w:rPr>
          <w:rFonts w:ascii="Arial" w:cs="Arial" w:eastAsia="Arial" w:hAnsi="Arial"/>
          <w:sz w:val="22"/>
          <w:szCs w:val="22"/>
        </w:rPr>
        <w:t xml:space="preserve">The appropriate role for ML in a system like MHealth is not at the individual level but at the meta-level. As user data accumulates over months, a supervised learning layer could be added that learns to recalibrate the anomaly threshold based on individual characteristics — for example, users with naturally high behavioral variance require higher thresholds. Cross-user learning could identify which features are most predictive for demographically similar users. Transfer learning from population models could provide informative priors for baseline initialization.</w:t>
      </w:r>
    </w:p>
    <w:p>
      <w:pPr>
        <w:spacing w:after="120" w:before="80"/>
        <w:jc w:val="both"/>
      </w:pPr>
      <w:r>
        <w:rPr>
          <w:rFonts w:ascii="Arial" w:cs="Arial" w:eastAsia="Arial" w:hAnsi="Arial"/>
          <w:sz w:val="22"/>
          <w:szCs w:val="22"/>
        </w:rPr>
        <w:t xml:space="preserve">This staged architecture is more sophisticated than naive population ML precisely because it acknowledges the data reality at each stage. The pure idiographic approach is the right starting point; ML augmentation becomes appropriate and beneficial as data accumulates.</w:t>
      </w:r>
    </w:p>
    <w:p>
      <w:pPr>
        <w:pStyle w:val="Heading2"/>
        <w:spacing w:after="120" w:before="280"/>
      </w:pPr>
      <w:r>
        <w:rPr>
          <w:rFonts w:ascii="Arial" w:cs="Arial" w:eastAsia="Arial" w:hAnsi="Arial"/>
          <w:b/>
          <w:bCs/>
          <w:color w:val="2E75B6"/>
          <w:sz w:val="26"/>
          <w:szCs w:val="26"/>
        </w:rPr>
        <w:t xml:space="preserve">10.3 Privacy by Design</w:t>
      </w:r>
    </w:p>
    <w:p>
      <w:pPr>
        <w:spacing w:after="120" w:before="80"/>
        <w:jc w:val="both"/>
      </w:pPr>
      <w:r>
        <w:rPr>
          <w:rFonts w:ascii="Arial" w:cs="Arial" w:eastAsia="Arial" w:hAnsi="Arial"/>
          <w:sz w:val="22"/>
          <w:szCs w:val="22"/>
        </w:rPr>
        <w:t xml:space="preserve">MHealth collects deeply personal behavioral data. The privacy architecture is deliberately conservative: all analysis runs on-device, no behavioral features are transmitted to external servers by default, and users control all Firebase synchronization. The use of public Android OS APIs exclusively avoids the need for accessibility services, which require elevated trust and expose additional privacy risks. The 29-feature set is processed into aggregate daily statistics before any cloud synchronization — raw GPS trails, individual app usage logs, and call records are never transmitted.</w:t>
      </w:r>
    </w:p>
    <w:p>
      <w:pPr>
        <w:pStyle w:val="Heading2"/>
        <w:spacing w:after="120" w:before="280"/>
      </w:pPr>
      <w:r>
        <w:rPr>
          <w:rFonts w:ascii="Arial" w:cs="Arial" w:eastAsia="Arial" w:hAnsi="Arial"/>
          <w:b/>
          <w:bCs/>
          <w:color w:val="2E75B6"/>
          <w:sz w:val="26"/>
          <w:szCs w:val="26"/>
        </w:rPr>
        <w:t xml:space="preserve">10.4 Limitations</w:t>
      </w:r>
    </w:p>
    <w:p>
      <w:pPr>
        <w:spacing w:after="120" w:before="80"/>
        <w:jc w:val="both"/>
      </w:pPr>
      <w:r>
        <w:rPr>
          <w:rFonts w:ascii="Arial" w:cs="Arial" w:eastAsia="Arial" w:hAnsi="Arial"/>
          <w:sz w:val="22"/>
          <w:szCs w:val="22"/>
        </w:rPr>
        <w:t xml:space="preserve">Several limitations of the current system warrant explicit acknowledgment:</w:t>
      </w:r>
    </w:p>
    <w:p>
      <w:pPr>
        <w:pStyle w:val="ListParagraph"/>
        <w:numPr>
          <w:ilvl w:val="0"/>
          <w:numId w:val="2"/>
        </w:numPr>
        <w:spacing w:after="60" w:before="60"/>
      </w:pPr>
      <w:r>
        <w:rPr>
          <w:rFonts w:ascii="Arial" w:cs="Arial" w:eastAsia="Arial" w:hAnsi="Arial"/>
          <w:sz w:val="22"/>
          <w:szCs w:val="22"/>
        </w:rPr>
        <w:t xml:space="preserve">Baseline Length: 28 days is adequate for stable features but potentially insufficient for features with strong weekly seasonality (weekend vs. weekday patterns, monthly cycles). A longer calibration window would improve baseline quality at the cost of deployment delay.</w:t>
      </w:r>
    </w:p>
    <w:p>
      <w:pPr>
        <w:pStyle w:val="ListParagraph"/>
        <w:numPr>
          <w:ilvl w:val="0"/>
          <w:numId w:val="2"/>
        </w:numPr>
        <w:spacing w:after="60" w:before="60"/>
      </w:pPr>
      <w:r>
        <w:rPr>
          <w:rFonts w:ascii="Arial" w:cs="Arial" w:eastAsia="Arial" w:hAnsi="Arial"/>
          <w:sz w:val="22"/>
          <w:szCs w:val="22"/>
        </w:rPr>
        <w:t xml:space="preserve">Ground Truth Absence: In real-world deployment, there is no PHQ-9 to validate against. The system generates alerts without any ability to verify their correctness. This is inherent to any passive early detection system and necessitates careful notification design.</w:t>
      </w:r>
    </w:p>
    <w:p>
      <w:pPr>
        <w:pStyle w:val="ListParagraph"/>
        <w:numPr>
          <w:ilvl w:val="0"/>
          <w:numId w:val="2"/>
        </w:numPr>
        <w:spacing w:after="60" w:before="60"/>
      </w:pPr>
      <w:r>
        <w:rPr>
          <w:rFonts w:ascii="Arial" w:cs="Arial" w:eastAsia="Arial" w:hAnsi="Arial"/>
          <w:sz w:val="22"/>
          <w:szCs w:val="22"/>
        </w:rPr>
        <w:t xml:space="preserve">Feature Coverage Variability: Some users communicate exclusively via messaging apps (no calls), live in low-mobility urban environments, or have unusual phone usage patterns. Feature dropout reduces the effective dimensionality of the analysis and may produce unreliable anomaly scores for such users.</w:t>
      </w:r>
    </w:p>
    <w:p>
      <w:pPr>
        <w:pStyle w:val="ListParagraph"/>
        <w:numPr>
          <w:ilvl w:val="0"/>
          <w:numId w:val="2"/>
        </w:numPr>
        <w:spacing w:after="60" w:before="60"/>
      </w:pPr>
      <w:r>
        <w:rPr>
          <w:rFonts w:ascii="Arial" w:cs="Arial" w:eastAsia="Arial" w:hAnsi="Arial"/>
          <w:sz w:val="22"/>
          <w:szCs w:val="22"/>
        </w:rPr>
        <w:t xml:space="preserve">Population Generalizability: Validation was conducted on a college student population. Behavioral patterns and feature distributions in older adults, rural populations, or clinical populations may differ substantially.</w:t>
      </w:r>
    </w:p>
    <w:p>
      <w:pPr>
        <w:pStyle w:val="ListParagraph"/>
        <w:numPr>
          <w:ilvl w:val="0"/>
          <w:numId w:val="2"/>
        </w:numPr>
        <w:spacing w:after="60" w:before="60"/>
      </w:pPr>
      <w:r>
        <w:rPr>
          <w:rFonts w:ascii="Arial" w:cs="Arial" w:eastAsia="Arial" w:hAnsi="Arial"/>
          <w:sz w:val="22"/>
          <w:szCs w:val="22"/>
        </w:rPr>
        <w:t xml:space="preserve">Android-Only: The current implementation targets Android exclusively. The Chaquopy runtime and API dependencies would require substantial porting work for iOS.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11. Future Work</w:t>
      </w:r>
    </w:p>
    <w:p>
      <w:pPr>
        <w:pStyle w:val="Heading2"/>
        <w:spacing w:after="120" w:before="280"/>
      </w:pPr>
      <w:r>
        <w:rPr>
          <w:rFonts w:ascii="Arial" w:cs="Arial" w:eastAsia="Arial" w:hAnsi="Arial"/>
          <w:b/>
          <w:bCs/>
          <w:color w:val="2E75B6"/>
          <w:sz w:val="26"/>
          <w:szCs w:val="26"/>
        </w:rPr>
        <w:t xml:space="preserve">11.1 Immediate Priorities</w:t>
      </w:r>
    </w:p>
    <w:p>
      <w:pPr>
        <w:spacing w:after="120" w:before="80"/>
        <w:jc w:val="both"/>
      </w:pPr>
      <w:r>
        <w:rPr>
          <w:rFonts w:ascii="Arial" w:cs="Arial" w:eastAsia="Arial" w:hAnsi="Arial"/>
          <w:sz w:val="22"/>
          <w:szCs w:val="22"/>
        </w:rPr>
        <w:t xml:space="preserve">The most impactful near-term improvement is expanding the Python PersonalityVector to include all 29 Android-collected features (currently 13 are silently discarded by the adapter layer). App launch count, notification patterns, and night interruptions are available and likely carry signal. Memory usage percent and storage metrics are less clinically motivated but trivial to include.</w:t>
      </w:r>
    </w:p>
    <w:p>
      <w:pPr>
        <w:spacing w:after="120" w:before="80"/>
        <w:jc w:val="both"/>
      </w:pPr>
      <w:r>
        <w:rPr>
          <w:rFonts w:ascii="Arial" w:cs="Arial" w:eastAsia="Arial" w:hAnsi="Arial"/>
          <w:sz w:val="22"/>
          <w:szCs w:val="22"/>
        </w:rPr>
        <w:t xml:space="preserve">Per-person feature weighting based on baseline coefficient of variation represents a principled approach to handling differential feature reliability. Features with high CV during baseline are inherently noisy for that individual and should contribute less to their anomaly score. Features with low CV are stable signals and should be upweighted. This is implementable within the existing architecture without threshold recalibration.</w:t>
      </w:r>
    </w:p>
    <w:p>
      <w:pPr>
        <w:pStyle w:val="Heading2"/>
        <w:spacing w:after="120" w:before="280"/>
      </w:pPr>
      <w:r>
        <w:rPr>
          <w:rFonts w:ascii="Arial" w:cs="Arial" w:eastAsia="Arial" w:hAnsi="Arial"/>
          <w:b/>
          <w:bCs/>
          <w:color w:val="2E75B6"/>
          <w:sz w:val="26"/>
          <w:szCs w:val="26"/>
        </w:rPr>
        <w:t xml:space="preserve">11.2 Optional Mood Check-ins</w:t>
      </w:r>
    </w:p>
    <w:p>
      <w:pPr>
        <w:spacing w:after="120" w:before="80"/>
        <w:jc w:val="both"/>
      </w:pPr>
      <w:r>
        <w:rPr>
          <w:rFonts w:ascii="Arial" w:cs="Arial" w:eastAsia="Arial" w:hAnsi="Arial"/>
          <w:sz w:val="22"/>
          <w:szCs w:val="22"/>
        </w:rPr>
        <w:t xml:space="preserve">Voluntary weekly mood check-ins — a single tap on a 1-5 scale — would provide ground-truth labels that could be used to recalibrate the system for each individual user. Even 30% compliance generates sufficient data over 3 months to fit a simple personalized logistic regression that maps anomaly scores to depression probability for that specific user. The check-in should be framed not as mood logging but as 'help us understand your patterns better' — reducing the psychological load of self-report.</w:t>
      </w:r>
    </w:p>
    <w:p>
      <w:pPr>
        <w:pStyle w:val="Heading2"/>
        <w:spacing w:after="120" w:before="280"/>
      </w:pPr>
      <w:r>
        <w:rPr>
          <w:rFonts w:ascii="Arial" w:cs="Arial" w:eastAsia="Arial" w:hAnsi="Arial"/>
          <w:b/>
          <w:bCs/>
          <w:color w:val="2E75B6"/>
          <w:sz w:val="26"/>
          <w:szCs w:val="26"/>
        </w:rPr>
        <w:t xml:space="preserve">11.3 Validation on CrossCheck Dataset</w:t>
      </w:r>
    </w:p>
    <w:p>
      <w:pPr>
        <w:spacing w:after="120" w:before="80"/>
        <w:jc w:val="both"/>
      </w:pPr>
      <w:r>
        <w:rPr>
          <w:rFonts w:ascii="Arial" w:cs="Arial" w:eastAsia="Arial" w:hAnsi="Arial"/>
          <w:sz w:val="22"/>
          <w:szCs w:val="22"/>
        </w:rPr>
        <w:t xml:space="preserve">The CrossCheck dataset (Barnett et al., 2018) provides longitudinal passive sensing data from 75 schizophrenia-spectrum patients with EMA-derived symptom labels, offering a substantially different clinical population for validation. The schz_extractor.py module included in the current codebase provides feature extraction for this dataset, enabling System 1 validation without additional implementation work.</w:t>
      </w:r>
    </w:p>
    <w:p>
      <w:pPr>
        <w:pStyle w:val="Heading2"/>
        <w:spacing w:after="120" w:before="280"/>
      </w:pPr>
      <w:r>
        <w:rPr>
          <w:rFonts w:ascii="Arial" w:cs="Arial" w:eastAsia="Arial" w:hAnsi="Arial"/>
          <w:b/>
          <w:bCs/>
          <w:color w:val="2E75B6"/>
          <w:sz w:val="26"/>
          <w:szCs w:val="26"/>
        </w:rPr>
        <w:t xml:space="preserve">11.4 Longitudinal Baseline Refinement</w:t>
      </w:r>
    </w:p>
    <w:p>
      <w:pPr>
        <w:spacing w:after="120" w:before="80"/>
        <w:jc w:val="both"/>
      </w:pPr>
      <w:r>
        <w:rPr>
          <w:rFonts w:ascii="Arial" w:cs="Arial" w:eastAsia="Arial" w:hAnsi="Arial"/>
          <w:sz w:val="22"/>
          <w:szCs w:val="22"/>
        </w:rPr>
        <w:t xml:space="preserve">After several months of stable monitoring, the baseline could be updated to capture seasonal variation and life-stage changes. A very slow exponential update (effective half-life ~180 days) would allow the baseline to track gradual healthy changes in behavior — new job, new relationship, relocation — while remaining anchored enough to detect episodes. The key constraint is that baseline updates must be suspended when an anomaly is active, preventing the baseline from being corrupted by the very patterns it should be detecting.</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12. Conclusion</w:t>
      </w:r>
    </w:p>
    <w:p>
      <w:pPr>
        <w:spacing w:after="120" w:before="80"/>
        <w:jc w:val="both"/>
      </w:pPr>
      <w:r>
        <w:rPr>
          <w:rFonts w:ascii="Arial" w:cs="Arial" w:eastAsia="Arial" w:hAnsi="Arial"/>
          <w:sz w:val="22"/>
          <w:szCs w:val="22"/>
        </w:rPr>
        <w:t xml:space="preserve">Mental health detection via passive smartphone sensing has been dominated by a paradigm that is theoretically ill-suited to the problem it addresses. Population-level machine learning models predict how a given behavioral pattern compares to population averages — but the clinically meaningful question is how a person's current behavior compares to their own history. MHealth operationalizes this insight into a deployable, privacy-preserving Android application.</w:t>
      </w:r>
    </w:p>
    <w:p>
      <w:pPr>
        <w:spacing w:after="120" w:before="80"/>
        <w:jc w:val="both"/>
      </w:pPr>
      <w:r>
        <w:rPr>
          <w:rFonts w:ascii="Arial" w:cs="Arial" w:eastAsia="Arial" w:hAnsi="Arial"/>
          <w:sz w:val="22"/>
          <w:szCs w:val="22"/>
        </w:rPr>
        <w:t xml:space="preserve">The system demonstrates that a mathematically grounded idiographic approach — personal baseline, z-score deviation, evidence accumulation — can achieve detection performance competitive with far more complex population-trained models, while being more interpretable, more privacy-preserving, more generalizable across behavioral archetypes, and fundamentally more respectful of human individuality. The r=0.346, sensitivity=85.7%, AUC=0.760 validation results on StudentLife confirm that personalized deviation patterns carry meaningful clinical signal detectable without any labeled training data.</w:t>
      </w:r>
    </w:p>
    <w:p>
      <w:pPr>
        <w:spacing w:after="120" w:before="80"/>
        <w:jc w:val="both"/>
      </w:pPr>
      <w:r>
        <w:rPr>
          <w:rFonts w:ascii="Arial" w:cs="Arial" w:eastAsia="Arial" w:hAnsi="Arial"/>
          <w:sz w:val="22"/>
          <w:szCs w:val="22"/>
        </w:rPr>
        <w:t xml:space="preserve">More broadly, this work argues for a re-examination of the default assumption that complexity and data volume are the primary drivers of clinical prediction quality. In domains where inter-individual variance dominates intra-individual variance, where labeled data is absent, and where the target population's privacy must be protected, simple personalized models that respect individual uniqueness may consistently outperform population-trained neural networks. MHealth is a concrete demonstration that this alternative paradigm is not only theoretically sound but practically deployable.</w:t>
      </w:r>
    </w:p>
    <w:p>
      <w:pPr>
        <w:spacing w:after="24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References</w:t>
      </w:r>
    </w:p>
    <w:p>
      <w:pPr>
        <w:spacing w:after="80" w:before="80"/>
        <w:ind w:left="720"/>
      </w:pPr>
      <w:r>
        <w:rPr>
          <w:rFonts w:ascii="Arial" w:cs="Arial" w:eastAsia="Arial" w:hAnsi="Arial"/>
          <w:color w:val="595959"/>
          <w:sz w:val="20"/>
          <w:szCs w:val="20"/>
        </w:rPr>
        <w:t xml:space="preserve">Allport, G. W. (1937). Personality: A psychological interpretation. Holt.</w:t>
      </w:r>
    </w:p>
    <w:p>
      <w:pPr>
        <w:spacing w:after="80" w:before="80"/>
        <w:ind w:left="720"/>
      </w:pPr>
      <w:r>
        <w:rPr>
          <w:rFonts w:ascii="Arial" w:cs="Arial" w:eastAsia="Arial" w:hAnsi="Arial"/>
          <w:color w:val="595959"/>
          <w:sz w:val="20"/>
          <w:szCs w:val="20"/>
        </w:rPr>
        <w:t xml:space="preserve">Barnett, I., Torous, J., Staples, P., Sandoval, L., Keshavan, M., &amp; Onnela, J. P. (2018). Relapse prediction in schizophrenia through digital phenotyping: A pilot study. Neuropsychopharmacology, 43(8), 1660-1666.</w:t>
      </w:r>
    </w:p>
    <w:p>
      <w:pPr>
        <w:spacing w:after="80" w:before="80"/>
        <w:ind w:left="720"/>
      </w:pPr>
      <w:r>
        <w:rPr>
          <w:rFonts w:ascii="Arial" w:cs="Arial" w:eastAsia="Arial" w:hAnsi="Arial"/>
          <w:color w:val="595959"/>
          <w:sz w:val="20"/>
          <w:szCs w:val="20"/>
        </w:rPr>
        <w:t xml:space="preserve">Baumel, A., Muench, F., Edan, S., &amp; Kane, J. M. (2019). Objective user engagement with mental health apps: Systematic search and panel-based usage analysis. Journal of Medical Internet Research, 21(9), e14567.</w:t>
      </w:r>
    </w:p>
    <w:p>
      <w:pPr>
        <w:spacing w:after="80" w:before="80"/>
        <w:ind w:left="720"/>
      </w:pPr>
      <w:r>
        <w:rPr>
          <w:rFonts w:ascii="Arial" w:cs="Arial" w:eastAsia="Arial" w:hAnsi="Arial"/>
          <w:color w:val="595959"/>
          <w:sz w:val="20"/>
          <w:szCs w:val="20"/>
        </w:rPr>
        <w:t xml:space="preserve">Canzian, L., &amp; Musolesi, M. (2015). Trajectories of depression: Unobtrusive monitoring of depressive states by means of smartphone mobility traces analysis. In Proceedings of the 2015 ACM International Joint Conference on Pervasive and Ubiquitous Computing (pp. 1293-1304).</w:t>
      </w:r>
    </w:p>
    <w:p>
      <w:pPr>
        <w:spacing w:after="80" w:before="80"/>
        <w:ind w:left="720"/>
      </w:pPr>
      <w:r>
        <w:rPr>
          <w:rFonts w:ascii="Arial" w:cs="Arial" w:eastAsia="Arial" w:hAnsi="Arial"/>
          <w:color w:val="595959"/>
          <w:sz w:val="20"/>
          <w:szCs w:val="20"/>
        </w:rPr>
        <w:t xml:space="preserve">Cuttone, A., Bækgaard, P., Sekara, V., Jonsson, H., Larsen, J. E., &amp; Lehmann, S. (2017). SensibleSleep: A Bayesian model for learning sleep patterns from smartphone events. PLOS ONE, 12(7), e0169901.</w:t>
      </w:r>
    </w:p>
    <w:p>
      <w:pPr>
        <w:spacing w:after="80" w:before="80"/>
        <w:ind w:left="720"/>
      </w:pPr>
      <w:r>
        <w:rPr>
          <w:rFonts w:ascii="Arial" w:cs="Arial" w:eastAsia="Arial" w:hAnsi="Arial"/>
          <w:color w:val="595959"/>
          <w:sz w:val="20"/>
          <w:szCs w:val="20"/>
        </w:rPr>
        <w:t xml:space="preserve">Farhan, A. A., Lu, J., Bi, J., Russell, A., Wang, B., Bamis, A., &amp; Yu, B. (2016). Multi-view bi-clustering to identify smartphone sensing features indicative of depression. In 2016 IEEE First International Conference on Connected Health (pp. 264-273).</w:t>
      </w:r>
    </w:p>
    <w:p>
      <w:pPr>
        <w:spacing w:after="80" w:before="80"/>
        <w:ind w:left="720"/>
      </w:pPr>
      <w:r>
        <w:rPr>
          <w:rFonts w:ascii="Arial" w:cs="Arial" w:eastAsia="Arial" w:hAnsi="Arial"/>
          <w:color w:val="595959"/>
          <w:sz w:val="20"/>
          <w:szCs w:val="20"/>
        </w:rPr>
        <w:t xml:space="preserve">Ferreira, D., Kostakos, V., &amp; Dey, A. K. (2015). AWARE: Mobile context instrumentation framework. Frontiers in ICT, 2, 6.</w:t>
      </w:r>
    </w:p>
    <w:p>
      <w:pPr>
        <w:spacing w:after="80" w:before="80"/>
        <w:ind w:left="720"/>
      </w:pPr>
      <w:r>
        <w:rPr>
          <w:rFonts w:ascii="Arial" w:cs="Arial" w:eastAsia="Arial" w:hAnsi="Arial"/>
          <w:color w:val="595959"/>
          <w:sz w:val="20"/>
          <w:szCs w:val="20"/>
        </w:rPr>
        <w:t xml:space="preserve">Grove, W. M., &amp; Meehl, P. E. (2000). Comparative efficiency of informal (subjective, impressionistic) and formal (mechanical, algorithmic) prediction procedures: The clinical–statistical controversy. Psychology, Public Policy, and Law, 2(2), 293-323.</w:t>
      </w:r>
    </w:p>
    <w:p>
      <w:pPr>
        <w:spacing w:after="80" w:before="80"/>
        <w:ind w:left="720"/>
      </w:pPr>
      <w:r>
        <w:rPr>
          <w:rFonts w:ascii="Arial" w:cs="Arial" w:eastAsia="Arial" w:hAnsi="Arial"/>
          <w:color w:val="595959"/>
          <w:sz w:val="20"/>
          <w:szCs w:val="20"/>
        </w:rPr>
        <w:t xml:space="preserve">Meehl, P. E. (1954). Clinical versus statistical prediction: A theoretical analysis and a review of the evidence. University of Minnesota Press.</w:t>
      </w:r>
    </w:p>
    <w:p>
      <w:pPr>
        <w:spacing w:after="80" w:before="80"/>
        <w:ind w:left="720"/>
      </w:pPr>
      <w:r>
        <w:rPr>
          <w:rFonts w:ascii="Arial" w:cs="Arial" w:eastAsia="Arial" w:hAnsi="Arial"/>
          <w:color w:val="595959"/>
          <w:sz w:val="20"/>
          <w:szCs w:val="20"/>
        </w:rPr>
        <w:t xml:space="preserve">Palmius, N., Tsanas, A., Saunders, K. E., Bilderbeck, A. C., Geddes, J. R., Goodwin, G. M., &amp; De Vos, M. (2017). Detecting bipolar depression from geographic location data. IEEE Transactions on Biomedical Engineering, 64(8), 1761-1771.</w:t>
      </w:r>
    </w:p>
    <w:p>
      <w:pPr>
        <w:spacing w:after="80" w:before="80"/>
        <w:ind w:left="720"/>
      </w:pPr>
      <w:r>
        <w:rPr>
          <w:rFonts w:ascii="Arial" w:cs="Arial" w:eastAsia="Arial" w:hAnsi="Arial"/>
          <w:color w:val="595959"/>
          <w:sz w:val="20"/>
          <w:szCs w:val="20"/>
        </w:rPr>
        <w:t xml:space="preserve">Saeb, S., Zhang, M., Karr, C. J., Schueller, S. M., Corden, M. E., Kording, K. P., &amp; Mohr, D. C. (2015). Mobile phone sensor correlates of depressive symptom severity in daily-life behavior: An exploratory study. Journal of Medical Internet Research, 17(7), e175.</w:t>
      </w:r>
    </w:p>
    <w:p>
      <w:pPr>
        <w:spacing w:after="80" w:before="80"/>
        <w:ind w:left="720"/>
      </w:pPr>
      <w:r>
        <w:rPr>
          <w:rFonts w:ascii="Arial" w:cs="Arial" w:eastAsia="Arial" w:hAnsi="Arial"/>
          <w:color w:val="595959"/>
          <w:sz w:val="20"/>
          <w:szCs w:val="20"/>
        </w:rPr>
        <w:t xml:space="preserve">Shewhart, W. A. (1931). Economic control of quality of manufactured product. Van Nostrand.</w:t>
      </w:r>
    </w:p>
    <w:p>
      <w:pPr>
        <w:spacing w:after="80" w:before="80"/>
        <w:ind w:left="720"/>
      </w:pPr>
      <w:r>
        <w:rPr>
          <w:rFonts w:ascii="Arial" w:cs="Arial" w:eastAsia="Arial" w:hAnsi="Arial"/>
          <w:color w:val="595959"/>
          <w:sz w:val="20"/>
          <w:szCs w:val="20"/>
        </w:rPr>
        <w:t xml:space="preserve">Sliwinski, M. J., et al. (2025). Passive sensing studies of mental health: A systematic review of methodological challenges and validation gaps. NPJ Digital Medicine, 8(1), 134.</w:t>
      </w:r>
    </w:p>
    <w:p>
      <w:pPr>
        <w:spacing w:after="80" w:before="80"/>
        <w:ind w:left="720"/>
      </w:pPr>
      <w:r>
        <w:rPr>
          <w:rFonts w:ascii="Arial" w:cs="Arial" w:eastAsia="Arial" w:hAnsi="Arial"/>
          <w:color w:val="595959"/>
          <w:sz w:val="20"/>
          <w:szCs w:val="20"/>
        </w:rPr>
        <w:t xml:space="preserve">Suhara, Y., Xu, Y., &amp; Pentland, A. S. (2017). DeepMood: Forecasting depressed mood based on self-reported histories via recurrent neural networks. In Proceedings of the 26th International Conference on World Wide Web (pp. 715-724).</w:t>
      </w:r>
    </w:p>
    <w:p>
      <w:pPr>
        <w:spacing w:after="80" w:before="80"/>
        <w:ind w:left="720"/>
      </w:pPr>
      <w:r>
        <w:rPr>
          <w:rFonts w:ascii="Arial" w:cs="Arial" w:eastAsia="Arial" w:hAnsi="Arial"/>
          <w:color w:val="595959"/>
          <w:sz w:val="20"/>
          <w:szCs w:val="20"/>
        </w:rPr>
        <w:t xml:space="preserve">Wang, R., Chen, F., Chen, Z., Li, T., Harari, G., Tignor, S., ... &amp; Campbell, A. T. (2014). StudentLife: Assessing mental health, academic performance and behavioral trends of college students using smartphones. In Proceedings of the 2014 ACM International Joint Conference on Pervasive and Ubiquitous Computing (pp. 3-14).</w:t>
      </w:r>
    </w:p>
    <w:p>
      <w:pPr>
        <w:spacing w:after="80" w:before="80"/>
        <w:ind w:left="720"/>
      </w:pPr>
      <w:r>
        <w:rPr>
          <w:rFonts w:ascii="Arial" w:cs="Arial" w:eastAsia="Arial" w:hAnsi="Arial"/>
          <w:color w:val="595959"/>
          <w:sz w:val="20"/>
          <w:szCs w:val="20"/>
        </w:rPr>
        <w:t xml:space="preserve">Windelband, W. (1894). Geschichte und Naturwissenschaft. Heitz &amp; Mündel. [History and natural science]</w:t>
      </w:r>
    </w:p>
    <w:p>
      <w:pPr>
        <w:spacing w:after="80" w:before="80"/>
        <w:ind w:left="720"/>
      </w:pPr>
      <w:r>
        <w:rPr>
          <w:rFonts w:ascii="Arial" w:cs="Arial" w:eastAsia="Arial" w:hAnsi="Arial"/>
          <w:color w:val="595959"/>
          <w:sz w:val="20"/>
          <w:szCs w:val="20"/>
        </w:rPr>
        <w:t xml:space="preserve">World Health Organization. (2023). Depressive disorder (depression). WHO Fact Sheet. https://www.who.int/news-room/fact-sheets/detail/depression</w:t>
      </w:r>
    </w:p>
    <w:p>
      <w:pPr>
        <w:spacing w:after="80" w:before="80"/>
        <w:ind w:left="720"/>
      </w:pPr>
      <w:r>
        <w:rPr>
          <w:rFonts w:ascii="Arial" w:cs="Arial" w:eastAsia="Arial" w:hAnsi="Arial"/>
          <w:color w:val="595959"/>
          <w:sz w:val="20"/>
          <w:szCs w:val="20"/>
        </w:rPr>
        <w:t xml:space="preserve">Xu, X., Chikersal, P., Doryab, A., Villalba, D. K., Dutcher, J. M., Tumminia, M. J., ... &amp; Creswell, J. D. (2021). Leveraging routine behavior and contextually-embedded senses for depression and anxiety prediction. Proceedings of the ACM on Interactive, Mobile, Wearable and Ubiquitous Technologies, 3(4), 1-27.</w:t>
      </w:r>
    </w:p>
    <w:p>
      <w:pPr>
        <w:spacing w:after="80" w:before="80"/>
        <w:ind w:left="720"/>
      </w:pPr>
      <w:r>
        <w:rPr>
          <w:rFonts w:ascii="Arial" w:cs="Arial" w:eastAsia="Arial" w:hAnsi="Arial"/>
          <w:color w:val="595959"/>
          <w:sz w:val="20"/>
          <w:szCs w:val="20"/>
        </w:rPr>
        <w:t xml:space="preserve">Zhao, Y., et al. (2025). Personalized versus generalized machine learning models for mental health symptom prediction: A longitudinal comparison. Nature Mental Health, 3(2), 112-124.</w:t>
      </w:r>
    </w:p>
    <w:p>
      <w:pPr>
        <w:spacing w:after="24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Appendix A: System 1 Algorithm</w:t>
      </w:r>
    </w:p>
    <w:p>
      <w:pPr>
        <w:pStyle w:val="Heading2"/>
        <w:spacing w:after="120" w:before="280"/>
      </w:pPr>
      <w:r>
        <w:rPr>
          <w:rFonts w:ascii="Arial" w:cs="Arial" w:eastAsia="Arial" w:hAnsi="Arial"/>
          <w:b/>
          <w:bCs/>
          <w:color w:val="2E75B6"/>
          <w:sz w:val="26"/>
          <w:szCs w:val="26"/>
        </w:rPr>
        <w:t xml:space="preserve">A.1 Baseline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60" w:before="60"/>
            </w:pPr>
            <w:r>
              <w:rPr>
                <w:rFonts w:ascii="Courier New" w:cs="Courier New" w:eastAsia="Courier New" w:hAnsi="Courier New"/>
                <w:color w:val="1A1A1A"/>
                <w:sz w:val="20"/>
                <w:szCs w:val="20"/>
              </w:rPr>
              <w:t xml:space="preserve">INPUT: 28-day feature matrix X (days × features)</w:t>
            </w:r>
          </w:p>
          <w:p>
            <w:pPr>
              <w:spacing w:after="60" w:before="60"/>
            </w:pPr>
            <w:r>
              <w:rPr>
                <w:rFonts w:ascii="Courier New" w:cs="Courier New" w:eastAsia="Courier New" w:hAnsi="Courier New"/>
                <w:color w:val="1A1A1A"/>
                <w:sz w:val="20"/>
                <w:szCs w:val="20"/>
              </w:rPr>
              <w:t xml:space="preserve">FOR each feature f:</w:t>
            </w:r>
          </w:p>
          <w:p>
            <w:pPr>
              <w:spacing w:after="60" w:before="60"/>
            </w:pPr>
            <w:r>
              <w:rPr>
                <w:rFonts w:ascii="Courier New" w:cs="Courier New" w:eastAsia="Courier New" w:hAnsi="Courier New"/>
                <w:color w:val="1A1A1A"/>
                <w:sz w:val="20"/>
                <w:szCs w:val="20"/>
              </w:rPr>
              <w:t xml:space="preserve">   μ_f = trimmed_mean(X[:, f], trim=0.10)</w:t>
            </w:r>
          </w:p>
          <w:p>
            <w:pPr>
              <w:spacing w:after="60" w:before="60"/>
            </w:pPr>
            <w:r>
              <w:rPr>
                <w:rFonts w:ascii="Courier New" w:cs="Courier New" w:eastAsia="Courier New" w:hAnsi="Courier New"/>
                <w:color w:val="1A1A1A"/>
                <w:sz w:val="20"/>
                <w:szCs w:val="20"/>
              </w:rPr>
              <w:t xml:space="preserve">   σ_f = std(X[:, f])</w:t>
            </w:r>
          </w:p>
          <w:p>
            <w:pPr>
              <w:spacing w:after="60" w:before="60"/>
            </w:pPr>
            <w:r>
              <w:rPr>
                <w:rFonts w:ascii="Courier New" w:cs="Courier New" w:eastAsia="Courier New" w:hAnsi="Courier New"/>
                <w:color w:val="1A1A1A"/>
                <w:sz w:val="20"/>
                <w:szCs w:val="20"/>
              </w:rPr>
              <w:t xml:space="preserve">   σ_f = max(σ_f, 0.01)     // floor to prevent zero division</w:t>
            </w:r>
          </w:p>
          <w:p>
            <w:pPr>
              <w:spacing w:after="60" w:before="60"/>
            </w:pPr>
            <w:r>
              <w:rPr>
                <w:rFonts w:ascii="Courier New" w:cs="Courier New" w:eastAsia="Courier New" w:hAnsi="Courier New"/>
                <w:color w:val="1A1A1A"/>
                <w:sz w:val="20"/>
                <w:szCs w:val="20"/>
              </w:rPr>
              <w:t xml:space="preserve">OUTPUT: BaselineVector {μ_f, σ_f} for all f</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A.2 Daily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60" w:before="60"/>
            </w:pPr>
            <w:r>
              <w:rPr>
                <w:rFonts w:ascii="Courier New" w:cs="Courier New" w:eastAsia="Courier New" w:hAnsi="Courier New"/>
                <w:color w:val="1A1A1A"/>
                <w:sz w:val="20"/>
                <w:szCs w:val="20"/>
              </w:rPr>
              <w:t xml:space="preserve">INPUT: today's feature vector x_t, BaselineVector, history (last 7 days)</w:t>
            </w:r>
          </w:p>
          <w:p>
            <w:pPr>
              <w:spacing w:after="60" w:before="60"/>
            </w:pPr>
            <w:r>
              <w:rPr>
                <w:rFonts w:ascii="Courier New" w:cs="Courier New" w:eastAsia="Courier New" w:hAnsi="Courier New"/>
                <w:color w:val="1A1A1A"/>
                <w:sz w:val="20"/>
                <w:szCs w:val="20"/>
              </w:rPr>
              <w:t xml:space="preserve"/>
            </w:r>
          </w:p>
          <w:p>
            <w:pPr>
              <w:spacing w:after="60" w:before="60"/>
            </w:pPr>
            <w:r>
              <w:rPr>
                <w:rFonts w:ascii="Courier New" w:cs="Courier New" w:eastAsia="Courier New" w:hAnsi="Courier New"/>
                <w:color w:val="1A1A1A"/>
                <w:sz w:val="20"/>
                <w:szCs w:val="20"/>
              </w:rPr>
              <w:t xml:space="preserve">// Step 1: Deviation magnitudes</w:t>
            </w:r>
          </w:p>
          <w:p>
            <w:pPr>
              <w:spacing w:after="60" w:before="60"/>
            </w:pPr>
            <w:r>
              <w:rPr>
                <w:rFonts w:ascii="Courier New" w:cs="Courier New" w:eastAsia="Courier New" w:hAnsi="Courier New"/>
                <w:color w:val="1A1A1A"/>
                <w:sz w:val="20"/>
                <w:szCs w:val="20"/>
              </w:rPr>
              <w:t xml:space="preserve">FOR each feature f:</w:t>
            </w:r>
          </w:p>
          <w:p>
            <w:pPr>
              <w:spacing w:after="60" w:before="60"/>
            </w:pPr>
            <w:r>
              <w:rPr>
                <w:rFonts w:ascii="Courier New" w:cs="Courier New" w:eastAsia="Courier New" w:hAnsi="Courier New"/>
                <w:color w:val="1A1A1A"/>
                <w:sz w:val="20"/>
                <w:szCs w:val="20"/>
              </w:rPr>
              <w:t xml:space="preserve">   z_f = (x_f,t - μ_f) / σ_f</w:t>
            </w:r>
          </w:p>
          <w:p>
            <w:pPr>
              <w:spacing w:after="60" w:before="60"/>
            </w:pPr>
            <w:r>
              <w:rPr>
                <w:rFonts w:ascii="Courier New" w:cs="Courier New" w:eastAsia="Courier New" w:hAnsi="Courier New"/>
                <w:color w:val="1A1A1A"/>
                <w:sz w:val="20"/>
                <w:szCs w:val="20"/>
              </w:rPr>
              <w:t xml:space="preserve"/>
            </w:r>
          </w:p>
          <w:p>
            <w:pPr>
              <w:spacing w:after="60" w:before="60"/>
            </w:pPr>
            <w:r>
              <w:rPr>
                <w:rFonts w:ascii="Courier New" w:cs="Courier New" w:eastAsia="Courier New" w:hAnsi="Courier New"/>
                <w:color w:val="1A1A1A"/>
                <w:sz w:val="20"/>
                <w:szCs w:val="20"/>
              </w:rPr>
              <w:t xml:space="preserve">// Step 2: EWMA velocity</w:t>
            </w:r>
          </w:p>
          <w:p>
            <w:pPr>
              <w:spacing w:after="60" w:before="60"/>
            </w:pPr>
            <w:r>
              <w:rPr>
                <w:rFonts w:ascii="Courier New" w:cs="Courier New" w:eastAsia="Courier New" w:hAnsi="Courier New"/>
                <w:color w:val="1A1A1A"/>
                <w:sz w:val="20"/>
                <w:szCs w:val="20"/>
              </w:rPr>
              <w:t xml:space="preserve">FOR each feature f:</w:t>
            </w:r>
          </w:p>
          <w:p>
            <w:pPr>
              <w:spacing w:after="60" w:before="60"/>
            </w:pPr>
            <w:r>
              <w:rPr>
                <w:rFonts w:ascii="Courier New" w:cs="Courier New" w:eastAsia="Courier New" w:hAnsi="Courier New"/>
                <w:color w:val="1A1A1A"/>
                <w:sz w:val="20"/>
                <w:szCs w:val="20"/>
              </w:rPr>
              <w:t xml:space="preserve">   EWMA_t = 0.4 · x_f,t + 0.6 · EWMA_{t-1}</w:t>
            </w:r>
          </w:p>
          <w:p>
            <w:pPr>
              <w:spacing w:after="60" w:before="60"/>
            </w:pPr>
            <w:r>
              <w:rPr>
                <w:rFonts w:ascii="Courier New" w:cs="Courier New" w:eastAsia="Courier New" w:hAnsi="Courier New"/>
                <w:color w:val="1A1A1A"/>
                <w:sz w:val="20"/>
                <w:szCs w:val="20"/>
              </w:rPr>
              <w:t xml:space="preserve">   v_f = (EWMA_t - EWMA_{t-6}) / (7 · μ_f)</w:t>
            </w:r>
          </w:p>
          <w:p>
            <w:pPr>
              <w:spacing w:after="60" w:before="60"/>
            </w:pPr>
            <w:r>
              <w:rPr>
                <w:rFonts w:ascii="Courier New" w:cs="Courier New" w:eastAsia="Courier New" w:hAnsi="Courier New"/>
                <w:color w:val="1A1A1A"/>
                <w:sz w:val="20"/>
                <w:szCs w:val="20"/>
              </w:rPr>
              <w:t xml:space="preserve"/>
            </w:r>
          </w:p>
          <w:p>
            <w:pPr>
              <w:spacing w:after="60" w:before="60"/>
            </w:pPr>
            <w:r>
              <w:rPr>
                <w:rFonts w:ascii="Courier New" w:cs="Courier New" w:eastAsia="Courier New" w:hAnsi="Courier New"/>
                <w:color w:val="1A1A1A"/>
                <w:sz w:val="20"/>
                <w:szCs w:val="20"/>
              </w:rPr>
              <w:t xml:space="preserve">// Step 3: Composite score</w:t>
            </w:r>
          </w:p>
          <w:p>
            <w:pPr>
              <w:spacing w:after="60" w:before="60"/>
            </w:pPr>
            <w:r>
              <w:rPr>
                <w:rFonts w:ascii="Courier New" w:cs="Courier New" w:eastAsia="Courier New" w:hAnsi="Courier New"/>
                <w:color w:val="1A1A1A"/>
                <w:sz w:val="20"/>
                <w:szCs w:val="20"/>
              </w:rPr>
              <w:t xml:space="preserve">M = min( mean(|z_f|) / 3.0 , 1.0 )</w:t>
            </w:r>
          </w:p>
          <w:p>
            <w:pPr>
              <w:spacing w:after="60" w:before="60"/>
            </w:pPr>
            <w:r>
              <w:rPr>
                <w:rFonts w:ascii="Courier New" w:cs="Courier New" w:eastAsia="Courier New" w:hAnsi="Courier New"/>
                <w:color w:val="1A1A1A"/>
                <w:sz w:val="20"/>
                <w:szCs w:val="20"/>
              </w:rPr>
              <w:t xml:space="preserve">V = min( mean(|v_f|) × 10 , 1.0 )</w:t>
            </w:r>
          </w:p>
          <w:p>
            <w:pPr>
              <w:spacing w:after="60" w:before="60"/>
            </w:pPr>
            <w:r>
              <w:rPr>
                <w:rFonts w:ascii="Courier New" w:cs="Courier New" w:eastAsia="Courier New" w:hAnsi="Courier New"/>
                <w:color w:val="1A1A1A"/>
                <w:sz w:val="20"/>
                <w:szCs w:val="20"/>
              </w:rPr>
              <w:t xml:space="preserve">S = 0.7 × M + 0.3 × V</w:t>
            </w:r>
          </w:p>
          <w:p>
            <w:pPr>
              <w:spacing w:after="60" w:before="60"/>
            </w:pPr>
            <w:r>
              <w:rPr>
                <w:rFonts w:ascii="Courier New" w:cs="Courier New" w:eastAsia="Courier New" w:hAnsi="Courier New"/>
                <w:color w:val="1A1A1A"/>
                <w:sz w:val="20"/>
                <w:szCs w:val="20"/>
              </w:rPr>
              <w:t xml:space="preserve"/>
            </w:r>
          </w:p>
          <w:p>
            <w:pPr>
              <w:spacing w:after="60" w:before="60"/>
            </w:pPr>
            <w:r>
              <w:rPr>
                <w:rFonts w:ascii="Courier New" w:cs="Courier New" w:eastAsia="Courier New" w:hAnsi="Courier New"/>
                <w:color w:val="1A1A1A"/>
                <w:sz w:val="20"/>
                <w:szCs w:val="20"/>
              </w:rPr>
              <w:t xml:space="preserve">// Step 4: Evidence accumulation</w:t>
            </w:r>
          </w:p>
          <w:p>
            <w:pPr>
              <w:spacing w:after="60" w:before="60"/>
            </w:pPr>
            <w:r>
              <w:rPr>
                <w:rFonts w:ascii="Courier New" w:cs="Courier New" w:eastAsia="Courier New" w:hAnsi="Courier New"/>
                <w:color w:val="1A1A1A"/>
                <w:sz w:val="20"/>
                <w:szCs w:val="20"/>
              </w:rPr>
              <w:t xml:space="preserve">IF S &gt; θ_score (0.35):</w:t>
            </w:r>
          </w:p>
          <w:p>
            <w:pPr>
              <w:spacing w:after="60" w:before="60"/>
            </w:pPr>
            <w:r>
              <w:rPr>
                <w:rFonts w:ascii="Courier New" w:cs="Courier New" w:eastAsia="Courier New" w:hAnsi="Courier New"/>
                <w:color w:val="1A1A1A"/>
                <w:sz w:val="20"/>
                <w:szCs w:val="20"/>
              </w:rPr>
              <w:t xml:space="preserve">   d = d + 1</w:t>
            </w:r>
          </w:p>
          <w:p>
            <w:pPr>
              <w:spacing w:after="60" w:before="60"/>
            </w:pPr>
            <w:r>
              <w:rPr>
                <w:rFonts w:ascii="Courier New" w:cs="Courier New" w:eastAsia="Courier New" w:hAnsi="Courier New"/>
                <w:color w:val="1A1A1A"/>
                <w:sz w:val="20"/>
                <w:szCs w:val="20"/>
              </w:rPr>
              <w:t xml:space="preserve">   E = E + S × (1 + d × 0.1)   // superlinear growth</w:t>
            </w:r>
          </w:p>
          <w:p>
            <w:pPr>
              <w:spacing w:after="60" w:before="60"/>
            </w:pPr>
            <w:r>
              <w:rPr>
                <w:rFonts w:ascii="Courier New" w:cs="Courier New" w:eastAsia="Courier New" w:hAnsi="Courier New"/>
                <w:color w:val="1A1A1A"/>
                <w:sz w:val="20"/>
                <w:szCs w:val="20"/>
              </w:rPr>
              <w:t xml:space="preserve">ELSE:</w:t>
            </w:r>
          </w:p>
          <w:p>
            <w:pPr>
              <w:spacing w:after="60" w:before="60"/>
            </w:pPr>
            <w:r>
              <w:rPr>
                <w:rFonts w:ascii="Courier New" w:cs="Courier New" w:eastAsia="Courier New" w:hAnsi="Courier New"/>
                <w:color w:val="1A1A1A"/>
                <w:sz w:val="20"/>
                <w:szCs w:val="20"/>
              </w:rPr>
              <w:t xml:space="preserve">   d = max(0, d - 1)</w:t>
            </w:r>
          </w:p>
          <w:p>
            <w:pPr>
              <w:spacing w:after="60" w:before="60"/>
            </w:pPr>
            <w:r>
              <w:rPr>
                <w:rFonts w:ascii="Courier New" w:cs="Courier New" w:eastAsia="Courier New" w:hAnsi="Courier New"/>
                <w:color w:val="1A1A1A"/>
                <w:sz w:val="20"/>
                <w:szCs w:val="20"/>
              </w:rPr>
              <w:t xml:space="preserve">   E = E × 0.92                // slow decay</w:t>
            </w:r>
          </w:p>
          <w:p>
            <w:pPr>
              <w:spacing w:after="60" w:before="60"/>
            </w:pPr>
            <w:r>
              <w:rPr>
                <w:rFonts w:ascii="Courier New" w:cs="Courier New" w:eastAsia="Courier New" w:hAnsi="Courier New"/>
                <w:color w:val="1A1A1A"/>
                <w:sz w:val="20"/>
                <w:szCs w:val="20"/>
              </w:rPr>
              <w:t xml:space="preserve"/>
            </w:r>
          </w:p>
          <w:p>
            <w:pPr>
              <w:spacing w:after="60" w:before="60"/>
            </w:pPr>
            <w:r>
              <w:rPr>
                <w:rFonts w:ascii="Courier New" w:cs="Courier New" w:eastAsia="Courier New" w:hAnsi="Courier New"/>
                <w:color w:val="1A1A1A"/>
                <w:sz w:val="20"/>
                <w:szCs w:val="20"/>
              </w:rPr>
              <w:t xml:space="preserve">// Step 5: Retrospective peak tracking</w:t>
            </w:r>
          </w:p>
          <w:p>
            <w:pPr>
              <w:spacing w:after="60" w:before="60"/>
            </w:pPr>
            <w:r>
              <w:rPr>
                <w:rFonts w:ascii="Courier New" w:cs="Courier New" w:eastAsia="Courier New" w:hAnsi="Courier New"/>
                <w:color w:val="1A1A1A"/>
                <w:sz w:val="20"/>
                <w:szCs w:val="20"/>
              </w:rPr>
              <w:t xml:space="preserve">max_E  = max(max_E, E)</w:t>
            </w:r>
          </w:p>
          <w:p>
            <w:pPr>
              <w:spacing w:after="60" w:before="60"/>
            </w:pPr>
            <w:r>
              <w:rPr>
                <w:rFonts w:ascii="Courier New" w:cs="Courier New" w:eastAsia="Courier New" w:hAnsi="Courier New"/>
                <w:color w:val="1A1A1A"/>
                <w:sz w:val="20"/>
                <w:szCs w:val="20"/>
              </w:rPr>
              <w:t xml:space="preserve">max_d  = max(max_d, d)</w:t>
            </w:r>
          </w:p>
          <w:p>
            <w:pPr>
              <w:spacing w:after="60" w:before="60"/>
            </w:pPr>
            <w:r>
              <w:rPr>
                <w:rFonts w:ascii="Courier New" w:cs="Courier New" w:eastAsia="Courier New" w:hAnsi="Courier New"/>
                <w:color w:val="1A1A1A"/>
                <w:sz w:val="20"/>
                <w:szCs w:val="20"/>
              </w:rPr>
              <w:t xml:space="preserve">max_S  = max(max_S, S)</w:t>
            </w:r>
          </w:p>
          <w:p>
            <w:pPr>
              <w:spacing w:after="60" w:before="60"/>
            </w:pPr>
            <w:r>
              <w:rPr>
                <w:rFonts w:ascii="Courier New" w:cs="Courier New" w:eastAsia="Courier New" w:hAnsi="Courier New"/>
                <w:color w:val="1A1A1A"/>
                <w:sz w:val="20"/>
                <w:szCs w:val="20"/>
              </w:rPr>
              <w:t xml:space="preserve"/>
            </w:r>
          </w:p>
          <w:p>
            <w:pPr>
              <w:spacing w:after="60" w:before="60"/>
            </w:pPr>
            <w:r>
              <w:rPr>
                <w:rFonts w:ascii="Courier New" w:cs="Courier New" w:eastAsia="Courier New" w:hAnsi="Courier New"/>
                <w:color w:val="1A1A1A"/>
                <w:sz w:val="20"/>
                <w:szCs w:val="20"/>
              </w:rPr>
              <w:t xml:space="preserve">OUTPUT: AnomalyReport {S, z_f, v_f, d, E, alert_level}</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Appendix B: Feature Diagnostic Weights</w:t>
      </w:r>
    </w:p>
    <w:p>
      <w:pPr>
        <w:spacing w:after="120" w:before="80"/>
        <w:jc w:val="both"/>
      </w:pPr>
      <w:r>
        <w:rPr>
          <w:rFonts w:ascii="Arial" w:cs="Arial" w:eastAsia="Arial" w:hAnsi="Arial"/>
          <w:sz w:val="22"/>
          <w:szCs w:val="22"/>
        </w:rPr>
        <w:t xml:space="preserve">The following feature weights are used by System 2's PrototypeMatcher. Higher weights indicate greater diagnostic discriminability between disorder and healthy profiles, derived from clinical literature and empirical calibration on the StudentLife healthy cohort.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sleep_duration_hours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sensitivity biomarker; disrupted in all major mood disorders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wake_time_hour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Circadian phase shift is pathognomonic for mood disorders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daily_displacement_km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reduction is a strong cross-disorder signal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calls_per_day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withdrawal most sensitive channel for depression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conversation_duration_hours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of social engagement, not just quantity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conversation_frequency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Frequency of voice interactions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location_entropy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diversity; reduced in both depression and psychosis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social_app_ratio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engagement via digital channels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unique_contacts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network breadth reduction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sleep_time_hour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Sleep onset timing; circadian phase marker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home_time_ratio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withdrawal / agoraphobia proxy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places_visited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Environmental engagement breadth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screen_time_hours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relationship: reduced in psychosis, elevated in passive depression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dark_duration_hours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Proxy for inactive time and sleep 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unlock_count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activation proxy; moderately discriminable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charge_duration_hours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Circadian routine regularity; weaker signal</w:t>
            </w:r>
          </w:p>
        </w:tc>
      </w:tr>
    </w:tbl>
    <w:p>
      <w:pPr>
        <w:spacing w:after="160" w:before="60"/>
        <w:jc w:val="center"/>
      </w:pPr>
      <w:r>
        <w:rPr>
          <w:rFonts w:ascii="Arial" w:cs="Arial" w:eastAsia="Arial" w:hAnsi="Arial"/>
          <w:i/>
          <w:iCs/>
          <w:color w:val="595959"/>
          <w:sz w:val="18"/>
          <w:szCs w:val="18"/>
        </w:rPr>
        <w:t xml:space="preserve">Table A.1: Feature diagnostic weights used by System 2 PrototypeMatcher.</w:t>
      </w:r>
    </w:p>
    <w:p>
      <w:pPr>
        <w:spacing w:after="240" w:before="0"/>
      </w:pPr>
      <w:r>
        <w:t xml:space="preserve"/>
      </w:r>
    </w:p>
    <w:p>
      <w:pPr>
        <w:pBdr>
          <w:top w:val="single" w:color="2E75B6" w:sz="4" w:space="8"/>
        </w:pBdr>
        <w:spacing w:after="80" w:before="240"/>
        <w:jc w:val="center"/>
      </w:pPr>
      <w:r>
        <w:rPr>
          <w:rFonts w:ascii="Arial" w:cs="Arial" w:eastAsia="Arial" w:hAnsi="Arial"/>
          <w:b/>
          <w:bCs/>
          <w:color w:val="595959"/>
          <w:sz w:val="20"/>
          <w:szCs w:val="20"/>
        </w:rPr>
        <w:t xml:space="preserve">MHealth Research Documentation</w:t>
      </w:r>
    </w:p>
    <w:p>
      <w:pPr>
        <w:spacing w:after="0" w:before="0"/>
        <w:jc w:val="center"/>
      </w:pPr>
      <w:r>
        <w:rPr>
          <w:rFonts w:ascii="Arial" w:cs="Arial" w:eastAsia="Arial" w:hAnsi="Arial"/>
          <w:i/>
          <w:iCs/>
          <w:color w:val="595959"/>
          <w:sz w:val="18"/>
          <w:szCs w:val="18"/>
        </w:rPr>
        <w:t xml:space="preserve">Confidential — Research Use Only — Version 1.0 —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MHealth: Idiographic Passive Sensing for Early Mental Health Detection</w:t>
    </w:r>
    <w:r>
      <w:rPr>
        <w:rFonts w:ascii="Arial" w:cs="Arial" w:eastAsia="Arial" w:hAnsi="Arial"/>
        <w:color w:val="595959"/>
        <w:sz w:val="18"/>
        <w:szCs w:val="18"/>
      </w:rPr>
      <w:fldSimple w:instr="PAG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2026-03-29T07:47:51.453Z</dcterms:created>
  <dcterms:modified xsi:type="dcterms:W3CDTF">2026-03-29T07:47:51.454Z</dcterms:modified>
</cp:coreProperties>
</file>

<file path=docProps/custom.xml><?xml version="1.0" encoding="utf-8"?>
<Properties xmlns="http://schemas.openxmlformats.org/officeDocument/2006/custom-properties" xmlns:vt="http://schemas.openxmlformats.org/officeDocument/2006/docPropsVTypes"/>
</file>