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22"/>
          <w:szCs w:val="22"/>
        </w:rPr>
        <w:t xml:space="preserve">◆ 欧盟电池法规 (EU) 2023/1542 ◆</w:t>
      </w:r>
    </w:p>
    <w:p>
      <w:pPr>
        <w:spacing w:after="200" w:before="0"/>
      </w:pPr>
      <w:r>
        <w:rPr>
          <w:sz w:val="24"/>
          <w:szCs w:val="24"/>
        </w:rPr>
        <w:t xml:space="preserve"/>
      </w:r>
    </w:p>
    <w:p>
      <w:pPr>
        <w:spacing w:after="240" w:before="20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52"/>
          <w:szCs w:val="52"/>
        </w:rPr>
        <w:t xml:space="preserve">DPP差距评估项目启动书</w:t>
      </w:r>
    </w:p>
    <w:p>
      <w:pPr>
        <w:pBdr>
          <w:bottom w:val="single" w:color="2E7D32" w:sz="18" w:space="10"/>
        </w:pBdr>
        <w:spacing w:after="400" w:before="0"/>
        <w:jc w:val="center"/>
      </w:pPr>
      <w:r>
        <w:rPr>
          <w:sz w:val="2"/>
          <w:szCs w:val="2"/>
        </w:rPr>
        <w:t xml:space="preserve"/>
      </w:r>
    </w:p>
    <w:p>
      <w:pPr>
        <w:spacing w:after="300" w:before="100"/>
        <w:jc w:val="center"/>
      </w:pPr>
      <w:r>
        <w:rPr>
          <w:rFonts w:ascii="Times New Roman" w:cs="Times New Roman" w:eastAsia="宋体" w:hAnsi="Times New Roman"/>
          <w:color w:val="424242"/>
          <w:sz w:val="26"/>
          <w:szCs w:val="26"/>
        </w:rPr>
        <w:t xml:space="preserve">S1 项目启动阶段文件</w:t>
      </w:r>
    </w:p>
    <w:p>
      <w:pPr>
        <w:spacing w:after="600" w:before="200"/>
        <w:jc w:val="center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明确目标 · 锁定范围 · 建立机制</w:t>
      </w:r>
    </w:p>
    <w:p>
      <w:pPr>
        <w:spacing w:after="5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283593"/>
          <w:sz w:val="24"/>
          <w:szCs w:val="24"/>
        </w:rPr>
        <w:t xml:space="preserve">财税 · DPP业务线</w:t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color w:val="616161"/>
          <w:sz w:val="22"/>
          <w:szCs w:val="22"/>
        </w:rPr>
        <w:t xml:space="preserve">2026年9月</w:t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14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一、项目基本信息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2049"/>
        <w:gridCol w:w="2608"/>
        <w:gridCol w:w="2049"/>
        <w:gridCol w:w="2608"/>
      </w:tblGrid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DPP差距评估项目</w:t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服务档位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□基础版  □标准版  □旗舰版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项目周期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自        年   月   日 至        年   月   日</w:t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报告编号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甲方项目经理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乙方项目经理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二、项目目标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在约定服务周期内，完成甲方适用电池产品的DPP差距评估，输出五项正式交付物；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明确71个法规数据点对甲方产品的适用判定与现状状态，量化六维加权合规评级；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识别红灯阻塞项与黄灯风险项，分析差距根因，输出可执行的三阶段整改路线图；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评估成果直接作为后续②数据建设、③注册上线、④年度托管的需求基线。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三、评估范围说明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本次评估涉及电池类型（勾选）：□ EV电池　□ LMT电池　□ 容量&gt;2kWh工业电池（含储能）　□ 其他：________；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评估范围以双方书面确认的SKU清单为准；项目过程中新增SKU需经双方书面确认，并可能影响项目周期与费用；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经判定不适用护照的产品类型，仅评估标签、EPR注册等相关义务，不计入评级分母。</w:t>
      </w:r>
    </w:p>
    <w:p>
      <w:pPr>
        <w:pStyle w:val="Heading2"/>
        <w:keepNext/>
        <w:keepLines/>
        <w:spacing w:after="100" w:before="180" w:line="300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▎</w:t>
      </w:r>
      <w:r>
        <w:rPr>
          <w:rFonts w:ascii="Times New Roman" w:cs="Times New Roman" w:eastAsia="宋体" w:hAnsi="Times New Roman"/>
          <w:b/>
          <w:bCs/>
          <w:color w:val="283593"/>
          <w:sz w:val="25"/>
          <w:szCs w:val="25"/>
        </w:rPr>
        <w:t xml:space="preserve">评估范围SKU清单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45"/>
        <w:gridCol w:w="1863"/>
        <w:gridCol w:w="1677"/>
        <w:gridCol w:w="1304"/>
        <w:gridCol w:w="1304"/>
        <w:gridCol w:w="1118"/>
        <w:gridCol w:w="1303"/>
      </w:tblGrid>
      <w:tr>
        <w:trPr>
          <w:cantSplit/>
          <w:tblHeader/>
          <w:trHeight w:val="420" w:hRule="atLeast"/>
        </w:trPr>
        <w:tc>
          <w:tcPr>
            <w:tcW w:type="dxa" w:w="745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6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型号</w:t>
            </w:r>
          </w:p>
        </w:tc>
        <w:tc>
          <w:tcPr>
            <w:tcW w:type="dxa" w:w="1677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电池类型</w:t>
            </w:r>
          </w:p>
        </w:tc>
        <w:tc>
          <w:tcPr>
            <w:tcW w:type="dxa" w:w="130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化学体系</w:t>
            </w:r>
          </w:p>
        </w:tc>
        <w:tc>
          <w:tcPr>
            <w:tcW w:type="dxa" w:w="130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额定容量</w:t>
            </w:r>
          </w:p>
        </w:tc>
        <w:tc>
          <w:tcPr>
            <w:tcW w:type="dxa" w:w="1118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年产量</w:t>
            </w:r>
          </w:p>
        </w:tc>
        <w:tc>
          <w:tcPr>
            <w:tcW w:type="dxa" w:w="130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11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四、双方项目组名单</w:t>
      </w:r>
    </w:p>
    <w:p>
      <w:pPr>
        <w:pStyle w:val="Heading2"/>
        <w:keepNext/>
        <w:keepLines/>
        <w:spacing w:after="100" w:before="180" w:line="300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▎</w:t>
      </w:r>
      <w:r>
        <w:rPr>
          <w:rFonts w:ascii="Times New Roman" w:cs="Times New Roman" w:eastAsia="宋体" w:hAnsi="Times New Roman"/>
          <w:b/>
          <w:bCs/>
          <w:color w:val="283593"/>
          <w:sz w:val="25"/>
          <w:szCs w:val="25"/>
        </w:rPr>
        <w:t xml:space="preserve">甲方项目组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49"/>
        <w:gridCol w:w="1677"/>
        <w:gridCol w:w="1863"/>
        <w:gridCol w:w="2049"/>
        <w:gridCol w:w="1676"/>
      </w:tblGrid>
      <w:tr>
        <w:trPr>
          <w:cantSplit/>
          <w:tblHeader/>
          <w:trHeight w:val="420" w:hRule="atLeast"/>
        </w:trPr>
        <w:tc>
          <w:tcPr>
            <w:tcW w:type="dxa" w:w="2049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项目角色</w:t>
            </w:r>
          </w:p>
        </w:tc>
        <w:tc>
          <w:tcPr>
            <w:tcW w:type="dxa" w:w="1677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186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职务/部门</w:t>
            </w:r>
          </w:p>
        </w:tc>
        <w:tc>
          <w:tcPr>
            <w:tcW w:type="dxa" w:w="2049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联系方式</w:t>
            </w:r>
          </w:p>
        </w:tc>
        <w:tc>
          <w:tcPr>
            <w:tcW w:type="dxa" w:w="1676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总体协调、范围与进度确认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研发/技术对接人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产品参数、BMS与技术文件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质量对接人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认证、DoC、检测报告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生产对接人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制造信息、产线与QR码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采购对接人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供应商清单与供应链数据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关务/出口对接人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出口记录、目的国、进口商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IT对接人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系统对接、数据安全与载体</w:t>
            </w:r>
          </w:p>
        </w:tc>
      </w:tr>
    </w:tbl>
    <w:p>
      <w:pPr>
        <w:pStyle w:val="Heading2"/>
        <w:keepNext/>
        <w:keepLines/>
        <w:spacing w:after="100" w:before="180" w:line="300"/>
      </w:pPr>
      <w:r>
        <w:rPr>
          <w:rFonts w:ascii="Times New Roman" w:cs="Times New Roman" w:eastAsia="宋体" w:hAnsi="Times New Roman"/>
          <w:b/>
          <w:bCs/>
          <w:color w:val="2E7D32"/>
          <w:sz w:val="26"/>
          <w:szCs w:val="26"/>
        </w:rPr>
        <w:t xml:space="preserve">▎</w:t>
      </w:r>
      <w:r>
        <w:rPr>
          <w:rFonts w:ascii="Times New Roman" w:cs="Times New Roman" w:eastAsia="宋体" w:hAnsi="Times New Roman"/>
          <w:b/>
          <w:bCs/>
          <w:color w:val="283593"/>
          <w:sz w:val="25"/>
          <w:szCs w:val="25"/>
        </w:rPr>
        <w:t xml:space="preserve">乙方项目组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49"/>
        <w:gridCol w:w="1677"/>
        <w:gridCol w:w="1863"/>
        <w:gridCol w:w="2049"/>
        <w:gridCol w:w="1676"/>
      </w:tblGrid>
      <w:tr>
        <w:trPr>
          <w:cantSplit/>
          <w:tblHeader/>
          <w:trHeight w:val="420" w:hRule="atLeast"/>
        </w:trPr>
        <w:tc>
          <w:tcPr>
            <w:tcW w:type="dxa" w:w="2049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项目角色</w:t>
            </w:r>
          </w:p>
        </w:tc>
        <w:tc>
          <w:tcPr>
            <w:tcW w:type="dxa" w:w="1677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186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职务</w:t>
            </w:r>
          </w:p>
        </w:tc>
        <w:tc>
          <w:tcPr>
            <w:tcW w:type="dxa" w:w="2049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联系方式</w:t>
            </w:r>
          </w:p>
        </w:tc>
        <w:tc>
          <w:tcPr>
            <w:tcW w:type="dxa" w:w="1676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唯一接口人、进度与质量统筹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法规专家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法规适配、终审与评级复核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行业顾问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访谈、核查与证据采集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终审人</w:t>
            </w:r>
          </w:p>
        </w:tc>
        <w:tc>
          <w:tcPr>
            <w:tcW w:type="dxa" w:w="167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67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报告终审、日期与路线把关</w:t>
            </w:r>
          </w:p>
        </w:tc>
      </w:tr>
    </w:tbl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五、沟通机制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1863"/>
        <w:gridCol w:w="7451"/>
      </w:tblGrid>
      <w:tr>
        <w:trPr>
          <w:cantSplit/>
        </w:trPr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周例会</w:t>
            </w:r>
          </w:p>
        </w:tc>
        <w:tc>
          <w:tcPr>
            <w:tcW w:type="dxa" w:w="745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每周          （时间）召开，时长30-45分钟；形式：□远程  □现场；同步进展、待办与风险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即时沟通</w:t>
            </w:r>
          </w:p>
        </w:tc>
        <w:tc>
          <w:tcPr>
            <w:tcW w:type="dxa" w:w="745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工作时段内消息2小时内响应；紧急事项电话直连双方项目经理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书面周报</w:t>
            </w:r>
          </w:p>
        </w:tc>
        <w:tc>
          <w:tcPr>
            <w:tcW w:type="dxa" w:w="745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乙方每周五发送周报，列明本周完成、下周计划、待甲方配合事项与风险提示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会议纪要</w:t>
            </w:r>
          </w:p>
        </w:tc>
        <w:tc>
          <w:tcPr>
            <w:tcW w:type="dxa" w:w="745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例会纪要由乙方整理，次日内发出并经双方确认</w:t>
            </w:r>
          </w:p>
        </w:tc>
      </w:tr>
    </w:tbl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六、文件交付与安全通道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项目期内所有资料仅通过加密文件传输通道传递，不使用个人微信、个人邮箱收发项目资料；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安全通道专属链接：________________________；访问权限由双方项目经理共同管控，按最小必要原则授权；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纸质资料统一编号、登记交接，注明份数与密级；项目结束后按约定归档或销毁，并留存交接记录；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IT/BMS类核查可现场演示或提供截图，不要求甲方开放源代码或底层数据库。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七、关键里程碑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931"/>
        <w:gridCol w:w="2422"/>
        <w:gridCol w:w="3353"/>
        <w:gridCol w:w="1304"/>
        <w:gridCol w:w="1304"/>
      </w:tblGrid>
      <w:tr>
        <w:trPr>
          <w:cantSplit/>
          <w:tblHeader/>
          <w:trHeight w:val="420" w:hRule="atLeast"/>
        </w:trPr>
        <w:tc>
          <w:tcPr>
            <w:tcW w:type="dxa" w:w="93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2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35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主要工作</w:t>
            </w:r>
          </w:p>
        </w:tc>
        <w:tc>
          <w:tcPr>
            <w:tcW w:type="dxa" w:w="130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计划日期</w:t>
            </w:r>
          </w:p>
        </w:tc>
        <w:tc>
          <w:tcPr>
            <w:tcW w:type="dxa" w:w="130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S1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项目启动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签署协议/NDA、开通安全通道、组建项目组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双方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S2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信息采集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采集表填写、启动访谈、范围与类型确认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双方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S3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法规适配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71数据点适用判定、关键日期确认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乙方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S4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现状核查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32项核查、六维访谈、证据采集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双方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S5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差距分级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红黄绿分级、六维加权评级、根因分析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乙方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S6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报告交付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报告编制、双人审核、汇报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乙方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S7</w:t>
            </w:r>
          </w:p>
        </w:tc>
        <w:tc>
          <w:tcPr>
            <w:tcW w:type="dxa" w:w="2422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后续衔接</w:t>
            </w:r>
          </w:p>
        </w:tc>
        <w:tc>
          <w:tcPr>
            <w:tcW w:type="dxa" w:w="335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答疑更新、下一步服务建议书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双方</w:t>
            </w:r>
          </w:p>
        </w:tc>
      </w:tr>
    </w:tbl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八、双方确认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双方确认：已阅读并同意本启动书所载项目目标、评估范围、沟通机制、文件安全安排与里程碑计划，将按本启动书约定组织资源、推进项目。</w:t>
      </w:r>
    </w:p>
    <w:tbl>
      <w:tblPr>
        <w:tblW w:type="dxa" w:w="931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57"/>
        <w:gridCol w:w="4657"/>
      </w:tblGrid>
      <w:tr>
        <w:trPr>
          <w:cantSplit/>
          <w:trHeight w:val="56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甲方（盖章）：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乙方（盖章）：</w:t>
            </w:r>
          </w:p>
        </w:tc>
      </w:tr>
      <w:tr>
        <w:trPr>
          <w:cantSplit/>
          <w:trHeight w:val="56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项目经理签字：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项目经理签字：</w:t>
            </w:r>
          </w:p>
        </w:tc>
      </w:tr>
      <w:tr>
        <w:trPr>
          <w:cantSplit/>
          <w:trHeight w:val="56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日期：        年    月    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日期：        年    月    日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296" w:bottom="1300" w:left="1296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cs="Times New Roman" w:eastAsia="宋体" w:hAnsi="Times New Roman"/>
        <w:color w:val="757575"/>
        <w:sz w:val="18"/>
        <w:szCs w:val="18"/>
      </w:rPr>
      <w:t xml:space="preserve">财税 · 机密文件　第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 / 共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spacing w:after="0" w:before="0"/>
      <w:jc w:val="right"/>
    </w:pPr>
    <w:r>
      <w:rPr>
        <w:rFonts w:ascii="Times New Roman" w:cs="Times New Roman" w:eastAsia="宋体" w:hAnsi="Times New Roman"/>
        <w:b/>
        <w:bCs/>
        <w:color w:val="1A237E"/>
        <w:sz w:val="18"/>
        <w:szCs w:val="18"/>
      </w:rPr>
      <w:t xml:space="preserve">财税 · DPP业务线</w:t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   |    DPP差距评估工具箱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00" w:hanging="28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DPP差距评估项目启动书</dc:title>
  <dc:creator>财税</dc:creator>
  <dc:description>DPP差距评估工具箱</dc:description>
  <cp:lastModifiedBy>Un-named</cp:lastModifiedBy>
  <cp:revision>1</cp:revision>
  <dcterms:created xsi:type="dcterms:W3CDTF">2026-09-26T01:56:07.778Z</dcterms:created>
  <dcterms:modified xsi:type="dcterms:W3CDTF">2026-09-26T01:56:07.778Z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