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52"/>
          <w:szCs w:val="52"/>
        </w:rPr>
        <w:t xml:space="preserve">DPP合规差距评估报告</w:t>
      </w:r>
    </w:p>
    <w:p>
      <w:pPr>
        <w:spacing w:after="900"/>
        <w:jc w:val="center"/>
      </w:pPr>
      <w:r>
        <w:rPr>
          <w:rFonts w:ascii="Times New Roman" w:cs="Times New Roman" w:eastAsia="宋体" w:hAnsi="Times New Roman"/>
          <w:b/>
          <w:bCs/>
          <w:color w:val="2E7D32"/>
          <w:sz w:val="28"/>
          <w:szCs w:val="28"/>
        </w:rPr>
        <w:t xml:space="preserve">欧盟电池护照（电池行业版）</w:t>
      </w:r>
    </w:p>
    <w:tbl>
      <w:tblPr>
        <w:tblW w:type="dxa" w:w="9026"/>
        <w:tblBorders>
          <w:top w:val="single" w:color="1A237E" w:sz="4"/>
          <w:left w:val="single" w:color="1A237E" w:sz="4"/>
          <w:bottom w:val="single" w:color="1A237E" w:sz="4"/>
          <w:right w:val="single" w:color="1A237E" w:sz="4"/>
          <w:insideH w:val="single" w:color="BFBFBF" w:sz="4"/>
          <w:insideV w:val="single" w:color="BFBFBF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800"/>
        <w:gridCol w:w="6226"/>
      </w:tblGrid>
      <w:tr>
        <w:trPr>
          <w:cantSplit/>
        </w:trPr>
        <w:tc>
          <w:tcPr>
            <w:tcW w:type="dxa" w:w="2800"/>
            <w:shd w:fill="E8EAF6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1"/>
                <w:szCs w:val="21"/>
              </w:rPr>
              <w:t xml:space="preserve">客户名称</w:t>
            </w:r>
          </w:p>
        </w:tc>
        <w:tc>
          <w:tcPr>
            <w:tcW w:type="dxa" w:w="6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【客户公司全称】</w:t>
            </w:r>
          </w:p>
        </w:tc>
      </w:tr>
      <w:tr>
        <w:trPr>
          <w:cantSplit/>
        </w:trPr>
        <w:tc>
          <w:tcPr>
            <w:tcW w:type="dxa" w:w="2800"/>
            <w:shd w:fill="E8EAF6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1"/>
                <w:szCs w:val="21"/>
              </w:rPr>
              <w:t xml:space="preserve">报告编号</w:t>
            </w:r>
          </w:p>
        </w:tc>
        <w:tc>
          <w:tcPr>
            <w:tcW w:type="dxa" w:w="6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【DPP-EVAL-YYYY-001】</w:t>
            </w:r>
          </w:p>
        </w:tc>
      </w:tr>
      <w:tr>
        <w:trPr>
          <w:cantSplit/>
        </w:trPr>
        <w:tc>
          <w:tcPr>
            <w:tcW w:type="dxa" w:w="2800"/>
            <w:shd w:fill="E8EAF6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1"/>
                <w:szCs w:val="21"/>
              </w:rPr>
              <w:t xml:space="preserve">评估基准日</w:t>
            </w:r>
          </w:p>
        </w:tc>
        <w:tc>
          <w:tcPr>
            <w:tcW w:type="dxa" w:w="6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【YYYY年MM月DD日】</w:t>
            </w:r>
          </w:p>
        </w:tc>
      </w:tr>
      <w:tr>
        <w:trPr>
          <w:cantSplit/>
        </w:trPr>
        <w:tc>
          <w:tcPr>
            <w:tcW w:type="dxa" w:w="2800"/>
            <w:shd w:fill="E8EAF6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1"/>
                <w:szCs w:val="21"/>
              </w:rPr>
              <w:t xml:space="preserve">评估师</w:t>
            </w:r>
          </w:p>
        </w:tc>
        <w:tc>
          <w:tcPr>
            <w:tcW w:type="dxa" w:w="6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2800"/>
            <w:shd w:fill="E8EAF6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1"/>
                <w:szCs w:val="21"/>
              </w:rPr>
              <w:t xml:space="preserve">报告版本</w:t>
            </w:r>
          </w:p>
        </w:tc>
        <w:tc>
          <w:tcPr>
            <w:tcW w:type="dxa" w:w="6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【V1.0】</w:t>
            </w:r>
          </w:p>
        </w:tc>
      </w:tr>
    </w:tbl>
    <w:p>
      <w:pPr>
        <w:spacing w:after="80" w:before="1000"/>
        <w:jc w:val="center"/>
      </w:pPr>
      <w:r>
        <w:rPr>
          <w:rFonts w:ascii="Times New Roman" w:cs="Times New Roman" w:eastAsia="宋体" w:hAnsi="Times New Roman"/>
          <w:color w:val="8A8A8A"/>
          <w:sz w:val="20"/>
          <w:szCs w:val="20"/>
        </w:rPr>
        <w:t xml:space="preserve">本报告含商业与技术敏感信息，仅供客户内部使用</w:t>
      </w:r>
    </w:p>
    <w:p>
      <w:pPr>
        <w:spacing w:after="1200"/>
        <w:jc w:val="center"/>
      </w:pPr>
      <w:r>
        <w:rPr>
          <w:rFonts w:ascii="Times New Roman" w:cs="Times New Roman" w:eastAsia="宋体" w:hAnsi="Times New Roman"/>
          <w:color w:val="8A8A8A"/>
          <w:sz w:val="20"/>
          <w:szCs w:val="20"/>
        </w:rPr>
        <w:t xml:space="preserve">未经书面许可不得转发第三方</w:t>
      </w:r>
    </w:p>
    <w:p>
      <w:pPr>
        <w:spacing w:after="6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26"/>
          <w:szCs w:val="26"/>
        </w:rPr>
        <w:t xml:space="preserve">财税 · DPP业务线</w:t>
      </w:r>
    </w:p>
    <w:p>
      <w:pPr>
        <w:jc w:val="center"/>
      </w:pPr>
      <w:r>
        <w:rPr>
          <w:rFonts w:ascii="Times New Roman" w:cs="Times New Roman" w:eastAsia="宋体" w:hAnsi="Times New Roman"/>
          <w:color w:val="8A8A8A"/>
          <w:sz w:val="20"/>
          <w:szCs w:val="20"/>
        </w:rPr>
        <w:t xml:space="preserve">北京会计师事务所 / 财税咨询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报告摘要</w:t>
      </w:r>
    </w:p>
    <w:p>
      <w:pPr>
        <w:spacing w:after="120" w:line="320"/>
      </w:pPr>
      <w:r>
        <w:rPr>
          <w:rFonts w:ascii="Times New Roman" w:cs="Times New Roman" w:eastAsia="宋体" w:hAnsi="Times New Roman"/>
          <w:i/>
          <w:iCs/>
          <w:color w:val="8A8A8A"/>
          <w:sz w:val="21"/>
          <w:szCs w:val="21"/>
        </w:rPr>
        <w:t xml:space="preserve">提示：本页内容须在全部核查完成、评级定稿后填写，与正文各章数据保持一致。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66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评估范围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【纳入评估的产品线/SKU范围、生产工厂、电池类型】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核心结论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【一句话结论：最紧迫的差距与建议路径】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红/黄/绿项数量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【红灯 X 项 · 黄灯 Y 项 · 绿灯 Z 项（不适用 N 项）】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综合评级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【绿色 / 黄色 / 红色，加权总分 XX 分】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关键建议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【优先级最高的2-3项整改动作】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评估依据：(EU) 2023/1542《电池与废电池法规》及已发布授权法案框架，结合《32项核查清单（内部工作版）》逐项执行，并对71个法规数据点完成适用性映射。本报告结论以评估基准日客户提供的证据为限。</w:t>
      </w:r>
    </w:p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第一章 评估背景与范围</w:t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1.1 法规背景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欧盟(EU) 2023/1542《电池与废电池法规》建立了电池护照（Digital Product Passport, DPP）制度。自2027年2月18日起，电动汽车（EV）电池、轻型交通工具（LMT）电池、容量大于2kWh的工业电池，须在欧盟电池护照体系中持有有效护照方可投放市场。每本护照需填报71个法规数据点，数据来源于企业内部、一级/二级供应商及第三方检测核验机构。</w:t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1.2 评估目的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宋体" w:hAnsi="Times New Roman"/>
        </w:rPr>
        <w:t xml:space="preserve">摸清客户现状与法规要求之间的差距全貌：哪些已满足、哪些部分满足、哪些缺失；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宋体" w:hAnsi="Times New Roman"/>
        </w:rPr>
        <w:t xml:space="preserve">对差距进行红黄绿分级，开展六维加权综合评级，量化整体合规水位；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宋体" w:hAnsi="Times New Roman"/>
        </w:rPr>
        <w:t xml:space="preserve">追溯差距根因（数据/流程/技术/供应商），输出可执行的整改路线图与预算优先级。</w:t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1.3 评估对象与范围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66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主营产品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【产品类别与主要型号】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纳入范围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【纳入评估的产品线/SKU范围、生产工厂】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出口情况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【近3年对欧盟出口额、目的国、客户类型】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护照强制适用性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【适用 / 不适用 / 部分适用，注明判定依据】</w:t>
            </w:r>
          </w:p>
        </w:tc>
      </w:tr>
    </w:tbl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1.4 电池类型判定结果</w:t>
      </w:r>
    </w:p>
    <w:p>
      <w:pPr>
        <w:spacing w:after="120" w:line="320"/>
      </w:pPr>
      <w:r>
        <w:rPr>
          <w:rFonts w:ascii="Times New Roman" w:cs="Times New Roman" w:eastAsia="宋体" w:hAnsi="Times New Roman"/>
          <w:i/>
          <w:iCs/>
          <w:color w:val="8A8A8A"/>
          <w:sz w:val="21"/>
          <w:szCs w:val="21"/>
        </w:rPr>
        <w:t xml:space="preserve">依据Art.77(1)，结合《电池类型判定表》逐SKU判定；同一企业存在多种电池类型时按SKU分开标注，不适用项不计入评级分母。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1600"/>
        <w:gridCol w:w="4826"/>
      </w:tblGrid>
      <w:tr>
        <w:trPr>
          <w:cantSplit/>
          <w:tblHeader/>
        </w:trPr>
        <w:tc>
          <w:tcPr>
            <w:tcW w:type="dxa" w:w="26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电池类型</w:t>
            </w:r>
          </w:p>
        </w:tc>
        <w:tc>
          <w:tcPr>
            <w:tcW w:type="dxa" w:w="16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是否涉及</w:t>
            </w:r>
          </w:p>
        </w:tc>
        <w:tc>
          <w:tcPr>
            <w:tcW w:type="dxa" w:w="48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判定说明与涉及SKU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EV电池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【涉及SKU/型号，为M/N/O类或&gt;25kg的L类车辆牵引供电】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LMT电池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【涉及SKU/型号，为≤25kg的轻型交通工具供电】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工业电池（&gt;2kWh）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【涉及SKU/型号，含固定储能系统电池】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便携式 / SLI电池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【不适用护照，但适用标签/EPR义务】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第二章 评估方法论</w:t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2.1 三维度核查体系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核查维度</w:t>
            </w:r>
          </w:p>
        </w:tc>
        <w:tc>
          <w:tcPr>
            <w:tcW w:type="dxa" w:w="64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核查方式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法规条款映射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建立71数据点×适用电池类型（EV/LMT/工业）映射矩阵，逐项标注强制适用/条件适用/不适用/暂不填报，附法规条款依据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证据链核查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每项判断必须有书面证据：证书、测试报告、制度文件、系统截图、供应商问卷回执；逐项登记证据索引，无证据即判未满足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差距根因分析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每个差距项追溯根因并归类：数据缺失、流程缺失、技术缺失、供应商缺失，根因决定整改动作与预算归属</w:t>
            </w:r>
          </w:p>
        </w:tc>
      </w:tr>
    </w:tbl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2.2 L1-L4 判定层次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dxa" w:w="70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判定内容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L1 有没有</w:t>
            </w:r>
          </w:p>
        </w:tc>
        <w:tc>
          <w:tcPr>
            <w:tcW w:type="dxa" w:w="7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数据/文件是否存在（如CE证书、碳足迹报告、BMS能否输出SoH）；L1不通过直接判红灯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L2 对不对</w:t>
            </w:r>
          </w:p>
        </w:tc>
        <w:tc>
          <w:tcPr>
            <w:tcW w:type="dxa" w:w="7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内容是否符合法规口径：测试方法是否法规认可、计量单位是否正确、责任主体是否适格、声明是否与条款一致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L3 全不全</w:t>
            </w:r>
          </w:p>
        </w:tc>
        <w:tc>
          <w:tcPr>
            <w:tcW w:type="dxa" w:w="7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是否覆盖全部适用SKU、全部生产工厂、全部相关供应商；证书范围与实际出口产品是否一一对应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L4 新不新</w:t>
            </w:r>
          </w:p>
        </w:tc>
        <w:tc>
          <w:tcPr>
            <w:tcW w:type="dxa" w:w="7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数据是否最新：证书是否在有效期、报告是否对应现行配方工艺、动态数据是否持续更新、法规变化后是否同步修订</w:t>
            </w:r>
          </w:p>
        </w:tc>
      </w:tr>
    </w:tbl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判定规则：四个层次依次递进——L1不通过无需再评后续层次；L1通过但L2不通过按“部分满足”处理；L1-L4全部通过才判“已满足”。</w:t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2.3 证据标准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核查方法为文件审阅、人员访谈、系统演示、证据采集四种方式交叉验证。证据须可复核、在有效期、覆盖全部适用SKU；每项证据登记来源、日期、版本与覆盖范围。</w:t>
      </w:r>
    </w:p>
    <w:p>
      <w:pPr>
        <w:spacing w:after="120" w:line="320"/>
      </w:pPr>
      <w:r>
        <w:rPr>
          <w:rFonts w:ascii="Times New Roman" w:cs="Times New Roman" w:eastAsia="宋体" w:hAnsi="Times New Roman"/>
          <w:i/>
          <w:iCs/>
          <w:color w:val="8A8A8A"/>
          <w:sz w:val="21"/>
          <w:szCs w:val="21"/>
        </w:rPr>
        <w:t xml:space="preserve">示例：CE认证须看到证书扫描件+公告机构名称及编号+覆盖型号清单+有效期+测试报告编号；再生材料含量须看到供应商再生含量声明+质量平衡计算表+口径说明+第三方核验证明（如适用）。</w:t>
      </w:r>
    </w:p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第三章 71数据项核查结果总览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依据欧委会《Digital Battery Passport – data points by category》指南，71个数据点按九大类组织。下表按数据类别汇总满足情况：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700"/>
        <w:gridCol w:w="3000"/>
        <w:gridCol w:w="1100"/>
        <w:gridCol w:w="1100"/>
        <w:gridCol w:w="1100"/>
        <w:gridCol w:w="1100"/>
        <w:gridCol w:w="926"/>
      </w:tblGrid>
      <w:tr>
        <w:trPr>
          <w:cantSplit/>
          <w:tblHeader/>
        </w:trPr>
        <w:tc>
          <w:tcPr>
            <w:tcW w:type="dxa" w:w="7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11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项数</w:t>
            </w:r>
          </w:p>
        </w:tc>
        <w:tc>
          <w:tcPr>
            <w:tcW w:type="dxa" w:w="11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已满足</w:t>
            </w:r>
          </w:p>
        </w:tc>
        <w:tc>
          <w:tcPr>
            <w:tcW w:type="dxa" w:w="11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部分满足</w:t>
            </w:r>
          </w:p>
        </w:tc>
        <w:tc>
          <w:tcPr>
            <w:tcW w:type="dxa" w:w="11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缺失</w:t>
            </w:r>
          </w:p>
        </w:tc>
        <w:tc>
          <w:tcPr>
            <w:tcW w:type="dxa" w:w="9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满足率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电池身份信息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约15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【Y】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【Z】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【XX%】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碳足迹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约2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【Y】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【Z】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【XX%】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负责任采购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【Y】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【Z】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【XX%】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再生材料含量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约6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【Y】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【Z】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【XX%】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性能与耐久性参数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约14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【Y】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【Z】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【XX%】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标签与合规声明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约5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【Y】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【Z】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【XX%】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详细材料组成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约5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【Y】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【Z】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【XX%】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合格评定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【Y】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【Z】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【XX%】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动态使用数据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约21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【Y】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【Z】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【XX%】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汇总：应满足【X】项，已满足【Y】项，部分满足【Z】项，缺失【W】项，整体满足率【XX%】（不适用/暂不填报项不计入分母）。</w:t>
      </w:r>
    </w:p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第四章 32项核查结果详述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本章按A-F六个维度分节。每项包含核查要点、现状描述、书面证据与四级判定；判定取值为“已满足/部分满足/未满足/不适用”。</w:t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（一） 维度A：企业与产品范围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本维度共核查5项。其中已满足【X】项、部分满足【Y】项、未满足【Z】项。主要发现：【填写2-3句概述】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800"/>
        <w:gridCol w:w="1800"/>
        <w:gridCol w:w="2500"/>
        <w:gridCol w:w="2926"/>
        <w:gridCol w:w="1000"/>
      </w:tblGrid>
      <w:tr>
        <w:trPr>
          <w:cantSplit/>
          <w:tblHeader/>
        </w:trPr>
        <w:tc>
          <w:tcPr>
            <w:tcW w:type="dxa" w:w="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核查项</w:t>
            </w:r>
          </w:p>
        </w:tc>
        <w:tc>
          <w:tcPr>
            <w:tcW w:type="dxa" w:w="25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核查要点</w:t>
            </w:r>
          </w:p>
        </w:tc>
        <w:tc>
          <w:tcPr>
            <w:tcW w:type="dxa" w:w="29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现状、证据与方法</w:t>
            </w:r>
          </w:p>
        </w:tc>
        <w:tc>
          <w:tcPr>
            <w:tcW w:type="dxa" w:w="1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A1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企业基本信息完备性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核查要点：制造商名称、地址、联系方式须写入电池护照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【现状描述】；证据【E-XX】；方法：查阅营业执照、海关记录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A2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电池产品类别判定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核查要点：按Art.77(1)判定LMT/工业(&gt;2kWh)/EV强制适用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【现状描述】；证据【E-XX】；方法：逐SKU核对规格书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A3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出口欧盟业务与目的国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核查要点：影响合规优先级与时间表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【现状描述】；证据【E-XX】；方法：调取报关单、客户订单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A4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制造地信息完整性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核查要点：制造地点信息须进入护照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【现状描述】；证据【E-XX】；方法：盘点工厂与OEM清单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A5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品牌/型号/序列号体系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核查要点：型号信息须进入护照；护照以单块电池为对象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【现状描述】；证据【E-XX】；方法：检查命名规则与唯一性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（二） 维度B：合规资质与技术文件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本维度共核查6项。其中已满足【X】项、部分满足【Y】项、未满足【Z】项。主要发现：【填写2-3句概述】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800"/>
        <w:gridCol w:w="1800"/>
        <w:gridCol w:w="2500"/>
        <w:gridCol w:w="2926"/>
        <w:gridCol w:w="1000"/>
      </w:tblGrid>
      <w:tr>
        <w:trPr>
          <w:cantSplit/>
          <w:tblHeader/>
        </w:trPr>
        <w:tc>
          <w:tcPr>
            <w:tcW w:type="dxa" w:w="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核查项</w:t>
            </w:r>
          </w:p>
        </w:tc>
        <w:tc>
          <w:tcPr>
            <w:tcW w:type="dxa" w:w="25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核查要点</w:t>
            </w:r>
          </w:p>
        </w:tc>
        <w:tc>
          <w:tcPr>
            <w:tcW w:type="dxa" w:w="29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现状、证据与方法</w:t>
            </w:r>
          </w:p>
        </w:tc>
        <w:tc>
          <w:tcPr>
            <w:tcW w:type="dxa" w:w="1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B1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CE认证与EU符合性声明(DoC)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核查要点：投放欧盟市场的基本前提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【现状描述】；证据【E-XX】；方法：核验证书、测试报告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B2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标签与铭牌合规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核查要点：附录VI：容量、化学体系、收集符号、镉/铅标识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【现状描述】；证据【E-XX】；方法：对照附录VI核对实物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B3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碳足迹声明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核查要点：Art.7：按授权法案时间表分阶段强制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【现状描述】；证据【E-XX】；方法：确认LCA机构委托情况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B4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供应链尽职调查政策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核查要点：Art.47-51：含钴/锂/镍/天然石墨且&gt;2kWh须尽调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【现状描述】；证据【E-XX】；方法：查阅尽调政策文件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B5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技术文件体系化程度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核查要点：DoC支撑文件须可随时调取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【现状描述】；证据【E-XX】；方法：抽查文件完整性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B6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EPR注册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核查要点：Art.55起：生产者注册与EPR义务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【现状描述】；证据【E-XX】；方法：核对成员国注册记录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（三） 维度C：护照数据项准备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本维度共核查9项。其中已满足【X】项、部分满足【Y】项、未满足【Z】项。主要发现：【填写2-3句概述】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800"/>
        <w:gridCol w:w="1800"/>
        <w:gridCol w:w="2500"/>
        <w:gridCol w:w="2926"/>
        <w:gridCol w:w="1000"/>
      </w:tblGrid>
      <w:tr>
        <w:trPr>
          <w:cantSplit/>
          <w:tblHeader/>
        </w:trPr>
        <w:tc>
          <w:tcPr>
            <w:tcW w:type="dxa" w:w="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核查项</w:t>
            </w:r>
          </w:p>
        </w:tc>
        <w:tc>
          <w:tcPr>
            <w:tcW w:type="dxa" w:w="25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核查要点</w:t>
            </w:r>
          </w:p>
        </w:tc>
        <w:tc>
          <w:tcPr>
            <w:tcW w:type="dxa" w:w="29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现状、证据与方法</w:t>
            </w:r>
          </w:p>
        </w:tc>
        <w:tc>
          <w:tcPr>
            <w:tcW w:type="dxa" w:w="1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C1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通用制造信息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核查要点：制造商信息、制造日期、地点、类别、化学体系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【现状描述】；证据【E-XX】；方法：核对数据格式完整性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C2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技术参数数据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核查要点：标称电压、额定容量、额定功率/能量、重量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【现状描述】；证据【E-XX】；方法：对照规格书核对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C3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预期寿命与质保信息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核查要点：预期寿命、质保条款、预期循环次数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【现状描述】；证据【E-XX】；方法：核对研发数据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C4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再生材料含量数据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核查要点：Art.8：钴/锂/镍/铅再生含量比例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【现状描述】；证据【E-XX】；方法：核对供应商数据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C5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关键原材料与组件信息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核查要点：电池组件与关键原材料(CRM)信息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【现状描述】；证据【E-XX】；方法：核对BOM表覆盖度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C6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拆解信息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核查要点：拆解/移除/更换说明与安全注意事项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【现状描述】；证据【E-XX】；方法：工程文档可提取性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C7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安全措施信息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核查要点：安全运行条件与防护措施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【现状描述】；证据【E-XX】；方法：核对话书、测试报告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C8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电池状态数据(SoH)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核查要点：电池状态数据可获取性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【现状描述】；证据【E-XX】；方法：核对BMS读取能力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C9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有害物质信息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核查要点：镉、铅等有害物质含量信息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【现状描述】；证据【E-XX】；方法：核对检测报告覆盖度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（四） 维度D：供应链数据获取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本维度共核查4项。其中已满足【X】项、部分满足【Y】项、未满足【Z】项。主要发现：【填写2-3句概述】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800"/>
        <w:gridCol w:w="1800"/>
        <w:gridCol w:w="2500"/>
        <w:gridCol w:w="2926"/>
        <w:gridCol w:w="1000"/>
      </w:tblGrid>
      <w:tr>
        <w:trPr>
          <w:cantSplit/>
          <w:tblHeader/>
        </w:trPr>
        <w:tc>
          <w:tcPr>
            <w:tcW w:type="dxa" w:w="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核查项</w:t>
            </w:r>
          </w:p>
        </w:tc>
        <w:tc>
          <w:tcPr>
            <w:tcW w:type="dxa" w:w="25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核查要点</w:t>
            </w:r>
          </w:p>
        </w:tc>
        <w:tc>
          <w:tcPr>
            <w:tcW w:type="dxa" w:w="29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现状、证据与方法</w:t>
            </w:r>
          </w:p>
        </w:tc>
        <w:tc>
          <w:tcPr>
            <w:tcW w:type="dxa" w:w="1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D1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一级供应商清单完整性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核查要点：护照数据与尽调的数据源头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【现状描述】；证据【E-XX】；方法：盘点一级供应商清单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D2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二级关键供应商识别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核查要点：关键原材料冶炼厂/精炼厂与原产国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【现状描述】；证据【E-XX】；方法：供应商问卷溯源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D3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供应商数据提供能力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核查要点：影响采集周期与交付排期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【现状描述】；证据【E-XX】；方法：抽样测试问卷回复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D4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商业机密分级披露机制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核查要点：Art.78：区分公开与受限访问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【现状描述】；证据【E-XX】；方法：检查分级审批流程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（五） 维度E：IT系统与数据载体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本维度共核查4项。其中已满足【X】项、部分满足【Y】项、未满足【Z】项。主要发现：【填写2-3句概述】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800"/>
        <w:gridCol w:w="1800"/>
        <w:gridCol w:w="2500"/>
        <w:gridCol w:w="2926"/>
        <w:gridCol w:w="1000"/>
      </w:tblGrid>
      <w:tr>
        <w:trPr>
          <w:cantSplit/>
          <w:tblHeader/>
        </w:trPr>
        <w:tc>
          <w:tcPr>
            <w:tcW w:type="dxa" w:w="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核查项</w:t>
            </w:r>
          </w:p>
        </w:tc>
        <w:tc>
          <w:tcPr>
            <w:tcW w:type="dxa" w:w="25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核查要点</w:t>
            </w:r>
          </w:p>
        </w:tc>
        <w:tc>
          <w:tcPr>
            <w:tcW w:type="dxa" w:w="29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现状、证据与方法</w:t>
            </w:r>
          </w:p>
        </w:tc>
        <w:tc>
          <w:tcPr>
            <w:tcW w:type="dxa" w:w="1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E1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QR码方案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核查要点：Art.77：电池须附二维码（分阶段实施）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【现状描述】；证据【E-XX】；方法：确认生成/印刷方案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E2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数据护照系统对接能力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核查要点：Art.77-78：护照数据经欧盟系统存取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【现状描述】；证据【E-XX】；方法：评估IT对接能力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E3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内部数据管理系统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核查要点：影响数据持续维护效率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【现状描述】；证据【E-XX】；方法：评估工具化程度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E4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数据安全与访问控制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核查要点：Art.78(4)：防泄露防篡改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【现状描述】；证据【E-XX】；方法：检查权限管理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（六） 维度F：管理流程与人员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本维度共核查4项。其中已满足【X】项、部分满足【Y】项、未满足【Z】项。主要发现：【填写2-3句概述】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800"/>
        <w:gridCol w:w="1800"/>
        <w:gridCol w:w="2500"/>
        <w:gridCol w:w="2926"/>
        <w:gridCol w:w="1000"/>
      </w:tblGrid>
      <w:tr>
        <w:trPr>
          <w:cantSplit/>
          <w:tblHeader/>
        </w:trPr>
        <w:tc>
          <w:tcPr>
            <w:tcW w:type="dxa" w:w="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核查项</w:t>
            </w:r>
          </w:p>
        </w:tc>
        <w:tc>
          <w:tcPr>
            <w:tcW w:type="dxa" w:w="25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核查要点</w:t>
            </w:r>
          </w:p>
        </w:tc>
        <w:tc>
          <w:tcPr>
            <w:tcW w:type="dxa" w:w="29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现状、证据与方法</w:t>
            </w:r>
          </w:p>
        </w:tc>
        <w:tc>
          <w:tcPr>
            <w:tcW w:type="dxa" w:w="1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F1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内部责任人与跨部门小组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核查要点：Art.17：生产者总体责任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【现状描述】；证据【E-XX】；方法：确认负责人及协同机制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F2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数据维护更新流程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核查要点：Art.77(3)：动态数据持续更新义务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【现状描述】；证据【E-XX】；方法：检查更新频率与责任人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F3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主管机关查验应对流程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核查要点：Art.80：市场监管机构查验配合义务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【现状描述】；证据【E-XX】；方法：检查响应流程与证据留存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  <w:tr>
        <w:trPr>
          <w:cantSplit/>
        </w:trPr>
        <w:tc>
          <w:tcPr>
            <w:tcW w:type="dxa" w:w="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F4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记录保存期限管理</w:t>
            </w:r>
          </w:p>
        </w:tc>
        <w:tc>
          <w:tcPr>
            <w:tcW w:type="dxa" w:w="25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核查要点：护照数据按法定期限保存</w:t>
            </w:r>
          </w:p>
        </w:tc>
        <w:tc>
          <w:tcPr>
            <w:tcW w:type="dxa" w:w="2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【现状描述】；证据【E-XX】；方法：检查档案管理制度</w:t>
            </w:r>
          </w:p>
        </w:tc>
        <w:tc>
          <w:tcPr>
            <w:tcW w:type="dxa" w:w="10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8A8A8A"/>
                <w:sz w:val="21"/>
                <w:szCs w:val="21"/>
              </w:rPr>
              <w:t xml:space="preserve">【判定】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第五章 差距分析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32项核查结果按红黄绿三级归集。红灯为阻塞项，不解决则无法在2027年2月后投放欧盟市场；黄灯为风险项，应限期补充；绿灯为达标项，直接进入护照办理材料池。</w:t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5.1 红灯明细（阻塞项）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000"/>
        <w:gridCol w:w="2200"/>
        <w:gridCol w:w="2800"/>
        <w:gridCol w:w="1826"/>
        <w:gridCol w:w="1200"/>
      </w:tblGrid>
      <w:tr>
        <w:trPr>
          <w:cantSplit/>
          <w:tblHeader/>
        </w:trPr>
        <w:tc>
          <w:tcPr>
            <w:tcW w:type="dxa" w:w="1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2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核查项</w:t>
            </w:r>
          </w:p>
        </w:tc>
        <w:tc>
          <w:tcPr>
            <w:tcW w:type="dxa" w:w="2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差距描述</w:t>
            </w:r>
          </w:p>
        </w:tc>
        <w:tc>
          <w:tcPr>
            <w:tcW w:type="dxa" w:w="18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合规影响</w:t>
            </w:r>
          </w:p>
        </w:tc>
        <w:tc>
          <w:tcPr>
            <w:tcW w:type="dxa" w:w="1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建议时限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【编号】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【核查项名称】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【差距描述】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【对合规的影响】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【建议完成时限】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【编号】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【核查项名称】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【差距描述】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【对合规的影响】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【建议完成时限】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【编号】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【核查项名称】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【差距描述】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【对合规的影响】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【建议完成时限】</w:t>
            </w:r>
          </w:p>
        </w:tc>
      </w:tr>
    </w:tbl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5.2 黄灯明细（风险项）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000"/>
        <w:gridCol w:w="2200"/>
        <w:gridCol w:w="2800"/>
        <w:gridCol w:w="1826"/>
        <w:gridCol w:w="1200"/>
      </w:tblGrid>
      <w:tr>
        <w:trPr>
          <w:cantSplit/>
          <w:tblHeader/>
        </w:trPr>
        <w:tc>
          <w:tcPr>
            <w:tcW w:type="dxa" w:w="1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2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核查项</w:t>
            </w:r>
          </w:p>
        </w:tc>
        <w:tc>
          <w:tcPr>
            <w:tcW w:type="dxa" w:w="2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差距描述</w:t>
            </w:r>
          </w:p>
        </w:tc>
        <w:tc>
          <w:tcPr>
            <w:tcW w:type="dxa" w:w="18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合规影响</w:t>
            </w:r>
          </w:p>
        </w:tc>
        <w:tc>
          <w:tcPr>
            <w:tcW w:type="dxa" w:w="1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建议时限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【编号】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【核查项名称】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【差距描述：有基础但不全/过时/覆盖不足】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【对查验结果的影响】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【建议完成时限】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【编号】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【核查项名称】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【差距描述：有基础但不全/过时/覆盖不足】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【对查验结果的影响】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【建议完成时限】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【编号】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【核查项名称】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【差距描述：有基础但不全/过时/覆盖不足】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【对查验结果的影响】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【建议完成时限】</w:t>
            </w:r>
          </w:p>
        </w:tc>
      </w:tr>
    </w:tbl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5.3 绿灯明细（达标项）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000"/>
        <w:gridCol w:w="2200"/>
        <w:gridCol w:w="2800"/>
        <w:gridCol w:w="1826"/>
        <w:gridCol w:w="1200"/>
      </w:tblGrid>
      <w:tr>
        <w:trPr>
          <w:cantSplit/>
          <w:tblHeader/>
        </w:trPr>
        <w:tc>
          <w:tcPr>
            <w:tcW w:type="dxa" w:w="10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2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核查项</w:t>
            </w:r>
          </w:p>
        </w:tc>
        <w:tc>
          <w:tcPr>
            <w:tcW w:type="dxa" w:w="2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证据摘要</w:t>
            </w:r>
          </w:p>
        </w:tc>
        <w:tc>
          <w:tcPr>
            <w:tcW w:type="dxa" w:w="18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处置</w:t>
            </w:r>
          </w:p>
        </w:tc>
        <w:tc>
          <w:tcPr>
            <w:tcW w:type="dxa" w:w="1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维护要求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【编号】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【核查项名称】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【证据摘要】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进入护照材料池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持续维护要求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【编号】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【核查项名称】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【证据摘要】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进入护照材料池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持续维护要求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【编号】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【核查项名称】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【证据摘要】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进入护照材料池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持续维护要求</w:t>
            </w:r>
          </w:p>
        </w:tc>
      </w:tr>
    </w:tbl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5.4 关键差距 TOP5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按“合规影响×修复难度”排序，列出对护照办理进度影响最大的五项差距：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900"/>
        <w:gridCol w:w="2800"/>
        <w:gridCol w:w="3200"/>
        <w:gridCol w:w="2126"/>
      </w:tblGrid>
      <w:tr>
        <w:trPr>
          <w:cantSplit/>
          <w:tblHeader/>
        </w:trPr>
        <w:tc>
          <w:tcPr>
            <w:tcW w:type="dxa" w:w="9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排名</w:t>
            </w:r>
          </w:p>
        </w:tc>
        <w:tc>
          <w:tcPr>
            <w:tcW w:type="dxa" w:w="2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关键差距</w:t>
            </w:r>
          </w:p>
        </w:tc>
        <w:tc>
          <w:tcPr>
            <w:tcW w:type="dxa" w:w="3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合规影响</w:t>
            </w:r>
          </w:p>
        </w:tc>
        <w:tc>
          <w:tcPr>
            <w:tcW w:type="dxa" w:w="21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建议动作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【差距项】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【影响描述】</w:t>
            </w:r>
          </w:p>
        </w:tc>
        <w:tc>
          <w:tcPr>
            <w:tcW w:type="dxa" w:w="2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【建议动作】</w:t>
            </w:r>
          </w:p>
        </w:tc>
      </w:tr>
      <w:tr>
        <w:trPr>
          <w:cantSplit/>
        </w:trPr>
        <w:tc>
          <w:tcPr>
            <w:tcW w:type="dxa" w:w="9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【差距项】</w:t>
            </w:r>
          </w:p>
        </w:tc>
        <w:tc>
          <w:tcPr>
            <w:tcW w:type="dxa" w:w="3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【影响描述】</w:t>
            </w:r>
          </w:p>
        </w:tc>
        <w:tc>
          <w:tcPr>
            <w:tcW w:type="dxa" w:w="21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【建议动作】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【差距项】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【影响描述】</w:t>
            </w:r>
          </w:p>
        </w:tc>
        <w:tc>
          <w:tcPr>
            <w:tcW w:type="dxa" w:w="2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【建议动作】</w:t>
            </w:r>
          </w:p>
        </w:tc>
      </w:tr>
      <w:tr>
        <w:trPr>
          <w:cantSplit/>
        </w:trPr>
        <w:tc>
          <w:tcPr>
            <w:tcW w:type="dxa" w:w="9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【差距项】</w:t>
            </w:r>
          </w:p>
        </w:tc>
        <w:tc>
          <w:tcPr>
            <w:tcW w:type="dxa" w:w="3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【影响描述】</w:t>
            </w:r>
          </w:p>
        </w:tc>
        <w:tc>
          <w:tcPr>
            <w:tcW w:type="dxa" w:w="21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【建议动作】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【差距项】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【影响描述】</w:t>
            </w:r>
          </w:p>
        </w:tc>
        <w:tc>
          <w:tcPr>
            <w:tcW w:type="dxa" w:w="2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【建议动作】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第六章 综合评级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维度得分 =（已满足项×1 + 部分满足项×0.5）÷ 适用项数 × 100；不适用项不计入分母。六维得分按下列权重加权汇总。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4200"/>
        <w:gridCol w:w="1600"/>
        <w:gridCol w:w="1400"/>
        <w:gridCol w:w="1826"/>
      </w:tblGrid>
      <w:tr>
        <w:trPr>
          <w:cantSplit/>
          <w:tblHeader/>
        </w:trPr>
        <w:tc>
          <w:tcPr>
            <w:tcW w:type="dxa" w:w="4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核查维度</w:t>
            </w:r>
          </w:p>
        </w:tc>
        <w:tc>
          <w:tcPr>
            <w:tcW w:type="dxa" w:w="16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维度得分</w:t>
            </w:r>
          </w:p>
        </w:tc>
        <w:tc>
          <w:tcPr>
            <w:tcW w:type="dxa" w:w="14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18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加权得分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① 基本合规与身份信息（A）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【XX】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【加权得分】</w:t>
            </w:r>
          </w:p>
        </w:tc>
      </w:tr>
      <w:tr>
        <w:trPr>
          <w:cantSplit/>
        </w:trPr>
        <w:tc>
          <w:tcPr>
            <w:tcW w:type="dxa" w:w="4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② 技术文档与合格评定（B）</w:t>
            </w:r>
          </w:p>
        </w:tc>
        <w:tc>
          <w:tcPr>
            <w:tcW w:type="dxa" w:w="16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【XX】</w:t>
            </w:r>
          </w:p>
        </w:tc>
        <w:tc>
          <w:tcPr>
            <w:tcW w:type="dxa" w:w="14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18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【加权得分】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③ 碳足迹与环境声明（C）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【XX】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【加权得分】</w:t>
            </w:r>
          </w:p>
        </w:tc>
      </w:tr>
      <w:tr>
        <w:trPr>
          <w:cantSplit/>
        </w:trPr>
        <w:tc>
          <w:tcPr>
            <w:tcW w:type="dxa" w:w="4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④ 材料与供应链（D）</w:t>
            </w:r>
          </w:p>
        </w:tc>
        <w:tc>
          <w:tcPr>
            <w:tcW w:type="dxa" w:w="16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【XX】</w:t>
            </w:r>
          </w:p>
        </w:tc>
        <w:tc>
          <w:tcPr>
            <w:tcW w:type="dxa" w:w="14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18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【加权得分】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⑤ 性能与耐久性（E+性能项）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【XX】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【加权得分】</w:t>
            </w:r>
          </w:p>
        </w:tc>
      </w:tr>
      <w:tr>
        <w:trPr>
          <w:cantSplit/>
        </w:trPr>
        <w:tc>
          <w:tcPr>
            <w:tcW w:type="dxa" w:w="4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⑥ 数据系统与动态数据（F+数据项）</w:t>
            </w:r>
          </w:p>
        </w:tc>
        <w:tc>
          <w:tcPr>
            <w:tcW w:type="dxa" w:w="16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【XX】</w:t>
            </w:r>
          </w:p>
        </w:tc>
        <w:tc>
          <w:tcPr>
            <w:tcW w:type="dxa" w:w="14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10%</w:t>
            </w:r>
          </w:p>
        </w:tc>
        <w:tc>
          <w:tcPr>
            <w:tcW w:type="dxa" w:w="18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【加权得分】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spacing w:after="160" w:line="320"/>
      </w:pPr>
      <w:r>
        <w:rPr>
          <w:rFonts w:ascii="Times New Roman" w:cs="Times New Roman" w:eastAsia="宋体" w:hAnsi="Times New Roman"/>
          <w:b/>
          <w:bCs/>
        </w:rPr>
        <w:t xml:space="preserve">加权总分：</w:t>
      </w:r>
      <w:r>
        <w:rPr>
          <w:rFonts w:ascii="Times New Roman" w:cs="Times New Roman" w:eastAsia="宋体" w:hAnsi="Times New Roman"/>
          <w:b/>
          <w:bCs/>
          <w:color w:val="1A237E"/>
          <w:sz w:val="26"/>
          <w:szCs w:val="26"/>
        </w:rPr>
        <w:t xml:space="preserve">【XX 分】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600"/>
        <w:gridCol w:w="1800"/>
        <w:gridCol w:w="5626"/>
      </w:tblGrid>
      <w:tr>
        <w:trPr>
          <w:cantSplit/>
          <w:tblHeader/>
        </w:trPr>
        <w:tc>
          <w:tcPr>
            <w:tcW w:type="dxa" w:w="16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综合评级</w:t>
            </w:r>
          </w:p>
        </w:tc>
        <w:tc>
          <w:tcPr>
            <w:tcW w:type="dxa" w:w="1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总分区间</w:t>
            </w:r>
          </w:p>
        </w:tc>
        <w:tc>
          <w:tcPr>
            <w:tcW w:type="dxa" w:w="56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含义与建议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2E7D32"/>
                <w:sz w:val="21"/>
                <w:szCs w:val="21"/>
              </w:rPr>
              <w:t xml:space="preserve">绿色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≥80分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基础扎实，可快速进入注册上线准备，仅需补齐零星项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E65100"/>
                <w:sz w:val="21"/>
                <w:szCs w:val="21"/>
              </w:rPr>
              <w:t xml:space="preserve">黄色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50-79分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存在系统性差距，需按路线图在3-6个月内完成建设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B71C1C"/>
                <w:sz w:val="21"/>
                <w:szCs w:val="21"/>
              </w:rPr>
              <w:t xml:space="preserve">红色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&lt;50分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差距涉及多个基础环节，需立即启动、分阶段重建并预留缓冲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spacing w:after="120" w:line="320"/>
      </w:pPr>
      <w:r>
        <w:rPr>
          <w:rFonts w:ascii="Times New Roman" w:cs="Times New Roman" w:eastAsia="宋体" w:hAnsi="Times New Roman"/>
          <w:b w:val="false"/>
          <w:bCs w:val="false"/>
        </w:rPr>
        <w:t xml:space="preserve">评级结论：【客户名称】本次综合评级为【绿色/黄色/红色】，加权总分【XX】分。【2-3句结论说明】</w:t>
      </w:r>
    </w:p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第七章 差距根因分析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对每一个差距项追溯根因并归入四类，根因类型决定整改动作与预算归属；同一差距可能存在多重根因，按主因归类并注明次因。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300"/>
        <w:gridCol w:w="2400"/>
        <w:gridCol w:w="2400"/>
        <w:gridCol w:w="1400"/>
        <w:gridCol w:w="1526"/>
      </w:tblGrid>
      <w:tr>
        <w:trPr>
          <w:cantSplit/>
          <w:tblHeader/>
        </w:trPr>
        <w:tc>
          <w:tcPr>
            <w:tcW w:type="dxa" w:w="13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根因类型</w:t>
            </w:r>
          </w:p>
        </w:tc>
        <w:tc>
          <w:tcPr>
            <w:tcW w:type="dxa" w:w="24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典型表现</w:t>
            </w:r>
          </w:p>
        </w:tc>
        <w:tc>
          <w:tcPr>
            <w:tcW w:type="dxa" w:w="24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诊断问题</w:t>
            </w:r>
          </w:p>
        </w:tc>
        <w:tc>
          <w:tcPr>
            <w:tcW w:type="dxa" w:w="14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涉及差距项</w:t>
            </w:r>
          </w:p>
        </w:tc>
        <w:tc>
          <w:tcPr>
            <w:tcW w:type="dxa" w:w="15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整改方向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数据缺失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有数据但散落在个人电脑未收集 / 业务中根本未产生该数据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数据是否曾产生？若产生过，存在哪里、谁能调取？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【涉及项：编号列表】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【归集/补测安排】</w:t>
            </w:r>
          </w:p>
        </w:tc>
      </w:tr>
      <w:tr>
        <w:trPr>
          <w:cantSplit/>
        </w:trPr>
        <w:tc>
          <w:tcPr>
            <w:tcW w:type="dxa" w:w="13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流程缺失</w:t>
            </w:r>
          </w:p>
        </w:tc>
        <w:tc>
          <w:tcPr>
            <w:tcW w:type="dxa" w:w="24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没有数据管理流程、跨部门责任不清、数据更新无制度</w:t>
            </w:r>
          </w:p>
        </w:tc>
        <w:tc>
          <w:tcPr>
            <w:tcW w:type="dxa" w:w="24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有没有书面流程规定谁产出、谁审核、多久更新？</w:t>
            </w:r>
          </w:p>
        </w:tc>
        <w:tc>
          <w:tcPr>
            <w:tcW w:type="dxa" w:w="14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【涉及项：编号列表】</w:t>
            </w:r>
          </w:p>
        </w:tc>
        <w:tc>
          <w:tcPr>
            <w:tcW w:type="dxa" w:w="15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【建制/责任分工】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技术缺失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检测设备与方法不支持、IT系统无相应字段或接口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现有设备与系统能否产出/承载该数据？改造还是新建？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【涉及项：编号列表】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【设备/IT改造方案】</w:t>
            </w:r>
          </w:p>
        </w:tc>
      </w:tr>
      <w:tr>
        <w:trPr>
          <w:cantSplit/>
        </w:trPr>
        <w:tc>
          <w:tcPr>
            <w:tcW w:type="dxa" w:w="13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供应商缺失</w:t>
            </w:r>
          </w:p>
        </w:tc>
        <w:tc>
          <w:tcPr>
            <w:tcW w:type="dxa" w:w="24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上游不提供数据 / 供应商自己也没有 / 需更换供应商</w:t>
            </w:r>
          </w:p>
        </w:tc>
        <w:tc>
          <w:tcPr>
            <w:tcW w:type="dxa" w:w="24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是否实测过供应商配合度？能否通过合同条款约束？</w:t>
            </w:r>
          </w:p>
        </w:tc>
        <w:tc>
          <w:tcPr>
            <w:tcW w:type="dxa" w:w="14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【涉及项：编号列表】</w:t>
            </w:r>
          </w:p>
        </w:tc>
        <w:tc>
          <w:tcPr>
            <w:tcW w:type="dxa" w:w="15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【问卷/合同/替代供应商】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第八章 整改路线图建议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按三阶段安排整改：0-3个月消除红灯阻塞项，3-6个月补齐黄灯风险项并完成系统建设，6-12个月实现常态化维护与注册上线。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800"/>
        <w:gridCol w:w="1900"/>
        <w:gridCol w:w="2926"/>
        <w:gridCol w:w="1300"/>
        <w:gridCol w:w="1100"/>
      </w:tblGrid>
      <w:tr>
        <w:trPr>
          <w:cantSplit/>
          <w:tblHeader/>
        </w:trPr>
        <w:tc>
          <w:tcPr>
            <w:tcW w:type="dxa" w:w="1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19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dxa" w:w="29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关键动作</w:t>
            </w:r>
          </w:p>
        </w:tc>
        <w:tc>
          <w:tcPr>
            <w:tcW w:type="dxa" w:w="13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覆盖差距</w:t>
            </w:r>
          </w:p>
        </w:tc>
        <w:tc>
          <w:tcPr>
            <w:tcW w:type="dxa" w:w="11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责任与里程碑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第一阶段 0-3个月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立即启动 · 消除红灯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指定合规负责人与跨部门小组；补齐DoC与标签差距；启动供应商问卷；完成法规适配矩阵复核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【红灯项编号】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【责任部门/里程碑】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第二阶段 3-6个月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短期补齐 · 系统建设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供应商数据采集与催收；数据手册与型号数据卡编制；委托LCA机构；护照系统对接与QR码落地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【黄灯项编号】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【责任部门/里程碑】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第三阶段 6-12个月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中期完善 · 注册上线</w:t>
            </w:r>
          </w:p>
        </w:tc>
        <w:tc>
          <w:tcPr>
            <w:tcW w:type="dxa" w:w="2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动态数据更新机制运行；数据核验与内部审计；办理护照数据提交与注册；建立年度托管与查验应对机制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【全部遗留项】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【责任部门/里程碑】</w:t>
            </w:r>
          </w:p>
        </w:tc>
      </w:tr>
    </w:tbl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第九章 结论与下一步建议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【结论：客户整体合规水位、最紧迫的差距、在强制生效日前完成整改的可行性判断。】</w:t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9.1 下一步服务衔接建议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宋体" w:hAnsi="Times New Roman"/>
        </w:rPr>
        <w:t xml:space="preserve">数据规划与手册编制：按《71数据项标准清单》建立型号数据卡，完成数据归集与口径统一；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宋体" w:hAnsi="Times New Roman"/>
        </w:rPr>
        <w:t xml:space="preserve">供应商数据收集辅导：代发回收《供应商数据问卷（中英双语）》并执行催收SOP，完成二级溯源；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宋体" w:hAnsi="Times New Roman"/>
        </w:rPr>
        <w:t xml:space="preserve">eIDAS与欧盟授权代表办理、欧盟注册中心注册辅导：数据齐备后办理护照数据提交与注册；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宋体" w:hAnsi="Times New Roman"/>
        </w:rPr>
        <w:t xml:space="preserve">年度托管：评估报告数据在服务期内持续更新，不重复收取评估费。</w:t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以上服务可整体委托，也可按阶段分别委托。</w:t>
      </w:r>
    </w:p>
    <w:p>
      <w:pPr>
        <w:pStyle w:val="Heading1"/>
        <w:pageBreakBefore/>
      </w:pPr>
      <w:r>
        <w:rPr>
          <w:rFonts w:ascii="Times New Roman" w:cs="Times New Roman" w:eastAsia="宋体" w:hAnsi="Times New Roman"/>
          <w:b/>
          <w:bCs/>
          <w:color w:val="1A237E"/>
          <w:sz w:val="32"/>
          <w:szCs w:val="32"/>
        </w:rPr>
        <w:t xml:space="preserve">附录</w:t>
      </w:r>
    </w:p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附录一 术语表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68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释义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DPP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Digital Product Passport，数字产品护照；本报告语境下即欧盟电池护照</w:t>
            </w:r>
          </w:p>
        </w:tc>
      </w:tr>
      <w:tr>
        <w:trPr>
          <w:cantSplit/>
        </w:trPr>
        <w:tc>
          <w:tcPr>
            <w:tcW w:type="dxa" w:w="2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EV / LMT</w:t>
            </w:r>
          </w:p>
        </w:tc>
        <w:tc>
          <w:tcPr>
            <w:tcW w:type="dxa" w:w="68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电动汽车电池 / 轻型交通工具（电动自行车、滑板车等）电池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DoC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EU Declaration of Conformity，欧盟符合性声明</w:t>
            </w:r>
          </w:p>
        </w:tc>
      </w:tr>
      <w:tr>
        <w:trPr>
          <w:cantSplit/>
        </w:trPr>
        <w:tc>
          <w:tcPr>
            <w:tcW w:type="dxa" w:w="2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EPR</w:t>
            </w:r>
          </w:p>
        </w:tc>
        <w:tc>
          <w:tcPr>
            <w:tcW w:type="dxa" w:w="68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Extended Producer Responsibility，生产者延伸责任（注册）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SoH / SOC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电池健康状态 / 荷电状态</w:t>
            </w:r>
          </w:p>
        </w:tc>
      </w:tr>
      <w:tr>
        <w:trPr>
          <w:cantSplit/>
        </w:trPr>
        <w:tc>
          <w:tcPr>
            <w:tcW w:type="dxa" w:w="2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LCA / PEF</w:t>
            </w:r>
          </w:p>
        </w:tc>
        <w:tc>
          <w:tcPr>
            <w:tcW w:type="dxa" w:w="68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生命周期评价 / 欧盟产品环境足迹方法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CRM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Critical Raw Materials，关键原材料</w:t>
            </w:r>
          </w:p>
        </w:tc>
      </w:tr>
    </w:tbl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附录二 关键日期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800"/>
        <w:gridCol w:w="2400"/>
        <w:gridCol w:w="3826"/>
      </w:tblGrid>
      <w:tr>
        <w:trPr>
          <w:cantSplit/>
          <w:tblHeader/>
        </w:trPr>
        <w:tc>
          <w:tcPr>
            <w:tcW w:type="dxa" w:w="2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法规节点</w:t>
            </w:r>
          </w:p>
        </w:tc>
        <w:tc>
          <w:tcPr>
            <w:tcW w:type="dxa" w:w="24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dxa" w:w="38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对客户的影响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供应链尽职调查义务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2025-08-18（已生效）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含钴/锂/镍/天然石墨且容量大于2kWh的电池须建立尽职调查政策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二维码标识分阶段要求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2026-02-18起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电池须附二维码，扫码直达电池护照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标签新要求分阶段实施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2026-08-18起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容量、化学体系、单独收集符号、镉/铅标识等按附录VI实施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负责任采购信息适用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2027-08-18起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Art.52(3)所述尽调报告中的负责任采购信息进入护照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电池护照强制生效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2027-02-18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LMT电池、容量大于2kWh工业电池、EV电池须持有效护照方可在欧盟投放市场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碳足迹声明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按授权法案时间表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EV电池等分阶段强制，须委托LCA机构测算</w:t>
            </w:r>
          </w:p>
        </w:tc>
      </w:tr>
    </w:tbl>
    <w:p>
      <w:pPr>
        <w:pStyle w:val="Heading2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附录三 证据索引</w:t>
      </w:r>
    </w:p>
    <w:p>
      <w:pPr>
        <w:spacing w:after="120" w:line="320"/>
      </w:pPr>
      <w:r>
        <w:rPr>
          <w:rFonts w:ascii="Times New Roman" w:cs="Times New Roman" w:eastAsia="宋体" w:hAnsi="Times New Roman"/>
          <w:i/>
          <w:iCs/>
          <w:color w:val="8A8A8A"/>
          <w:sz w:val="21"/>
          <w:szCs w:val="21"/>
        </w:rPr>
        <w:t xml:space="preserve">逐项登记核查中采信的书面证据，与第四章证据编号一一对应。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300"/>
        <w:gridCol w:w="2800"/>
        <w:gridCol w:w="2200"/>
        <w:gridCol w:w="1800"/>
        <w:gridCol w:w="926"/>
      </w:tblGrid>
      <w:tr>
        <w:trPr>
          <w:cantSplit/>
          <w:tblHeader/>
        </w:trPr>
        <w:tc>
          <w:tcPr>
            <w:tcW w:type="dxa" w:w="13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证据编号</w:t>
            </w:r>
          </w:p>
        </w:tc>
        <w:tc>
          <w:tcPr>
            <w:tcW w:type="dxa" w:w="2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证据名称</w:t>
            </w:r>
          </w:p>
        </w:tc>
        <w:tc>
          <w:tcPr>
            <w:tcW w:type="dxa" w:w="22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  <w:tc>
          <w:tcPr>
            <w:tcW w:type="dxa" w:w="1800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日期/版本</w:t>
            </w:r>
          </w:p>
        </w:tc>
        <w:tc>
          <w:tcPr>
            <w:tcW w:type="dxa" w:w="926"/>
            <w:shd w:fill="1A237E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1"/>
                <w:szCs w:val="21"/>
              </w:rPr>
              <w:t xml:space="preserve">覆盖范围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【E-01】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【证据名称】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【来源/提供部门】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【日期/版本】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【覆盖范围（SKU/工厂/供应商）】</w:t>
            </w:r>
          </w:p>
        </w:tc>
      </w:tr>
      <w:tr>
        <w:trPr>
          <w:cantSplit/>
        </w:trPr>
        <w:tc>
          <w:tcPr>
            <w:tcW w:type="dxa" w:w="13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【E-01】</w:t>
            </w:r>
          </w:p>
        </w:tc>
        <w:tc>
          <w:tcPr>
            <w:tcW w:type="dxa" w:w="2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【证据名称】</w:t>
            </w:r>
          </w:p>
        </w:tc>
        <w:tc>
          <w:tcPr>
            <w:tcW w:type="dxa" w:w="2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【来源/提供部门】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【日期/版本】</w:t>
            </w:r>
          </w:p>
        </w:tc>
        <w:tc>
          <w:tcPr>
            <w:tcW w:type="dxa" w:w="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【覆盖范围（SKU/工厂/供应商）】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【E-01】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【证据名称】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【来源/提供部门】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【日期/版本】</w:t>
            </w:r>
          </w:p>
        </w:tc>
        <w:tc>
          <w:tcPr>
            <w:tcW w:type="dxa" w:w="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【覆盖范围（SKU/工厂/供应商）】</w:t>
            </w:r>
          </w:p>
        </w:tc>
      </w:tr>
      <w:tr>
        <w:trPr>
          <w:cantSplit/>
        </w:trPr>
        <w:tc>
          <w:tcPr>
            <w:tcW w:type="dxa" w:w="13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【E-01】</w:t>
            </w:r>
          </w:p>
        </w:tc>
        <w:tc>
          <w:tcPr>
            <w:tcW w:type="dxa" w:w="2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【证据名称】</w:t>
            </w:r>
          </w:p>
        </w:tc>
        <w:tc>
          <w:tcPr>
            <w:tcW w:type="dxa" w:w="22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【来源/提供部门】</w:t>
            </w:r>
          </w:p>
        </w:tc>
        <w:tc>
          <w:tcPr>
            <w:tcW w:type="dxa" w:w="1800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【日期/版本】</w:t>
            </w:r>
          </w:p>
        </w:tc>
        <w:tc>
          <w:tcPr>
            <w:tcW w:type="dxa" w:w="926"/>
            <w:shd w:fill="F5F6FA" w:color="auto" w:val="auto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【覆盖范围（SKU/工厂/供应商）】</w:t>
            </w:r>
          </w:p>
        </w:tc>
      </w:tr>
    </w:tbl>
    <w:p>
      <w:pPr>
        <w:spacing w:after="60"/>
      </w:pPr>
      <w:r>
        <w:rPr>
          <w:rFonts w:ascii="Times New Roman" w:cs="Times New Roman" w:eastAsia="宋体" w:hAnsi="Times New Roman"/>
        </w:rPr>
        <w:t xml:space="preserve"/>
      </w:r>
    </w:p>
    <w:p>
      <w:pPr>
        <w:spacing w:after="120" w:line="320"/>
      </w:pPr>
      <w:r>
        <w:rPr>
          <w:rFonts w:ascii="Times New Roman" w:cs="Times New Roman" w:eastAsia="宋体" w:hAnsi="Times New Roman"/>
        </w:rPr>
        <w:t xml:space="preserve">单项评级口径：已满足=证据完整、在有效期、覆盖全部适用SKU；部分满足=有基础需补强；未满足=无材料或无流程；不适用项不计入分母。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color w:val="546E7A"/>
        <w:sz w:val="18"/>
        <w:szCs w:val="18"/>
      </w:rPr>
      <w:t xml:space="preserve">财税 · DPP业务线    第 </w:t>
    </w:r>
    <w:r>
      <w:rPr>
        <w:rFonts w:ascii="Times New Roman" w:cs="Times New Roman" w:eastAsia="宋体" w:hAnsi="Times New Roman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color w:val="546E7A"/>
        <w:sz w:val="18"/>
        <w:szCs w:val="18"/>
      </w:rPr>
      <w:t xml:space="preserve"> 页 / 共 </w:t>
    </w:r>
    <w:r>
      <w:rPr>
        <w:rFonts w:ascii="Times New Roman" w:cs="Times New Roman" w:eastAsia="宋体" w:hAnsi="Times New Roman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宋体" w:hAnsi="Times New Roman"/>
        <w:color w:val="546E7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jc w:val="right"/>
    </w:pPr>
    <w:r>
      <w:rPr>
        <w:rFonts w:ascii="Times New Roman" w:cs="Times New Roman" w:eastAsia="宋体" w:hAnsi="Times New Roman"/>
        <w:b/>
        <w:bCs/>
        <w:color w:val="1A237E"/>
        <w:sz w:val="18"/>
        <w:szCs w:val="18"/>
      </w:rPr>
      <w:t xml:space="preserve">DPP合规差距评估报告 · 【客户公司全称】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DPP合规差距评估报告</dc:title>
  <dc:creator>财税</dc:creator>
  <cp:lastModifiedBy>Un-named</cp:lastModifiedBy>
  <cp:revision>1</cp:revision>
  <dcterms:created xsi:type="dcterms:W3CDTF">2026-09-26T01:31:16.074Z</dcterms:created>
  <dcterms:modified xsi:type="dcterms:W3CDTF">2026-09-26T01:31:16.074Z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