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44"/>
        </w:rPr>
        <w:t>DPP数据维护计划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Data Maintenance Plan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color w:val="2E7D32"/>
          <w:sz w:val="22"/>
        </w:rPr>
        <w:t>财税咨询 · DPP电池护照年度合规维护服务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客户名称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[填写]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数据手册版本号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维护周期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 至 2027年____月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维护负责人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[财税] / [客户方]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上次更新日期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2026年____月____日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一、动态数据更新计划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以下数据项需定期更新，确保护照数据持续合规：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更新频率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下次更新日期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健康状态(SoH)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每季度/实时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BMS系统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故障与维护记录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每次维护后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售后/IT系统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再生材料含量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年度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供应商年报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碳足迹数据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年度/变更时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LCA机构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供应商清单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半年度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采购部门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合规认证状态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到期前3个月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合规部门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二、年度全面审核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每年至少进行一次全面数据审核，确保全部35字段数据有效：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审核内容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审核方法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审核时间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审核人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数据卡字段完整性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逐项核对35字段状态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证据文件有效性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检查证据编号对应文件是否存在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供应商数据一致性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与最新供应商数据交叉比对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法规变更适配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检查法规更新是否影响现有数据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缺口复查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重新评估「待补」字段是否有新数据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合规性复检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执行71项合规性检查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三、变更管理流程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当发生以下变更时，须启动数据更新流程：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变更类型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影响范围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新增电池型号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客户新增SKU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新建数据卡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30天内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供应商变更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更换/新增供应商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更新供应商清单+数据采集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14天内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法规更新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EU法规修订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评估影响+更新数据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法规生效后60天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技术参数变更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产品规格变化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更新对应数据卡字段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14天内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认证到期/更新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证书到期或新获认证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更新合规文件字段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到期前30天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四、维护沟通机制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季度数据更新报告（乙方出具，甲方确认）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年度全面审核报告（含齐备度统计、合规性复检结果）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法规变更预警（乙方监控，变更后7天内通知甲方）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紧急变更响应（24小时内评估影响，48小时内出方案）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五、确认签字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甲方确认人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乙方维护负责人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