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52"/>
          <w:szCs w:val="52"/>
        </w:rPr>
        <w:t xml:space="preserve">DPP合规差距评估报告</w:t>
      </w:r>
    </w:p>
    <w:p>
      <w:pPr>
        <w:spacing w:after="900"/>
        <w:jc w:val="center"/>
      </w:pPr>
      <w:r>
        <w:rPr>
          <w:rFonts w:ascii="Times New Roman" w:cs="Times New Roman" w:eastAsia="宋体" w:hAnsi="Times New Roman"/>
          <w:b/>
          <w:bCs/>
          <w:color w:val="2E7D32"/>
          <w:sz w:val="28"/>
          <w:szCs w:val="28"/>
        </w:rPr>
        <w:t xml:space="preserve">欧盟电池护照（电池行业版）</w:t>
      </w:r>
    </w:p>
    <w:tbl>
      <w:tblPr>
        <w:tblW w:type="dxa" w:w="9026"/>
        <w:tblBorders>
          <w:top w:val="single" w:color="1A237E" w:sz="4"/>
          <w:left w:val="single" w:color="1A237E" w:sz="4"/>
          <w:bottom w:val="single" w:color="1A237E" w:sz="4"/>
          <w:right w:val="single" w:color="1A237E" w:sz="4"/>
          <w:insideH w:val="single" w:color="BFBFBF" w:sz="4"/>
          <w:insideV w:val="single" w:color="BFBFBF" w:sz="4"/>
        </w:tblBorders>
        <w:tblCellMar>
          <w:top w:type="dxa" w:w="80"/>
          <w:left w:type="dxa" w:w="140"/>
          <w:bottom w:type="dxa" w:w="80"/>
          <w:right w:type="dxa" w:w="140"/>
        </w:tblCellMar>
      </w:tblPr>
      <w:tblGrid>
        <w:gridCol w:w="2800"/>
        <w:gridCol w:w="6226"/>
      </w:tblGrid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客户名称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【客户公司全称】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报告编号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【DPP-EVAL-YYYY-001】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评估基准日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【YYYY年MM月DD日】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评估师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2800"/>
            <w:shd w:fill="E8EAF6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/>
                <w:bCs/>
                <w:color w:val="1A237E"/>
                <w:sz w:val="21"/>
                <w:szCs w:val="21"/>
              </w:rPr>
              <w:t xml:space="preserve">报告版本</w:t>
            </w:r>
          </w:p>
        </w:tc>
        <w:tc>
          <w:tcPr>
            <w:tcW w:type="dxa" w:w="62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【V1.0】</w:t>
            </w:r>
          </w:p>
        </w:tc>
      </w:tr>
    </w:tbl>
    <w:p>
      <w:pPr>
        <w:spacing w:after="80" w:before="1000"/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本报告含商业与技术敏感信息，仅供客户内部使用</w:t>
      </w:r>
    </w:p>
    <w:p>
      <w:pPr>
        <w:spacing w:after="1200"/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未经书面许可不得转发第三方</w:t>
      </w:r>
    </w:p>
    <w:p>
      <w:pPr>
        <w:spacing w:after="60"/>
        <w:jc w:val="center"/>
      </w:pPr>
      <w:r>
        <w:rPr>
          <w:rFonts w:ascii="Times New Roman" w:cs="Times New Roman" w:eastAsia="宋体" w:hAnsi="Times New Roman"/>
          <w:b/>
          <w:bCs/>
          <w:color w:val="1A237E"/>
          <w:sz w:val="26"/>
          <w:szCs w:val="26"/>
        </w:rPr>
        <w:t xml:space="preserve">守信财税 · DPP业务线</w:t>
      </w:r>
    </w:p>
    <w:p>
      <w:pPr>
        <w:jc w:val="center"/>
      </w:pPr>
      <w:r>
        <w:rPr>
          <w:rFonts w:ascii="Times New Roman" w:cs="Times New Roman" w:eastAsia="宋体" w:hAnsi="Times New Roman"/>
          <w:color w:val="8A8A8A"/>
          <w:sz w:val="20"/>
          <w:szCs w:val="20"/>
        </w:rPr>
        <w:t xml:space="preserve">北京乾坤生会计师事务所 / 守信财税咨询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报告摘要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提示：本页内容须在全部核查完成、评级定稿后填写，与正文各章数据保持一致。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6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评估范围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【纳入评估的产品线/SKU范围、生产工厂、电池类型】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核心结论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【一句话结论：最紧迫的差距与建议路径】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红/黄/绿项数量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【红灯 X 项 · 黄灯 Y 项 · 绿灯 Z 项（不适用 N 项）】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综合评级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【绿色 / 黄色 / 红色，加权总分 XX 分】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关键建议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【优先级最高的2-3项整改动作】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评估依据：(EU) 2023/1542《电池与废电池法规》及已发布授权法案框架，结合《32项核查清单（内部工作版）》逐项执行，并对71个法规数据点完成适用性映射。本报告结论以评估基准日客户提供的证据为限。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第一章 评估背景与范围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1.1 法规背景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欧盟(EU) 2023/1542《电池与废电池法规》建立了电池护照（Digital Product Passport, DPP）制度。自2027年2月18日起，电动汽车（EV）电池、轻型交通工具（LMT）电池、容量大于2kWh的工业电池，须在欧盟电池护照体系中持有有效护照方可投放市场。每本护照需填报71个法规数据点，数据来源于企业内部、一级/二级供应商及第三方检测核验机构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1.2 评估目的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摸清客户现状与法规要求之间的差距全貌：哪些已满足、哪些部分满足、哪些缺失；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对差距进行红黄绿分级，开展六维加权综合评级，量化整体合规水位；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追溯差距根因（数据/流程/技术/供应商），输出可执行的整改路线图与预算优先级。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1.3 评估对象与范围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dxa" w:w="6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主营产品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【产品类别与主要型号】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纳入范围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【纳入评估的产品线/SKU范围、生产工厂】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出口情况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【近3年对欧盟出口额、目的国、客户类型】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护照强制适用性</w:t>
            </w:r>
          </w:p>
        </w:tc>
        <w:tc>
          <w:tcPr>
            <w:tcW w:type="dxa" w:w="6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【适用 / 不适用 / 部分适用，注明判定依据】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1.4 电池类型判定结果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依据Art.77(1)，结合《电池类型判定表》逐SKU判定；同一企业存在多种电池类型时按SKU分开标注，不适用项不计入评级分母。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600"/>
        <w:gridCol w:w="1600"/>
        <w:gridCol w:w="4826"/>
      </w:tblGrid>
      <w:tr>
        <w:trPr>
          <w:cantSplit/>
          <w:tblHeader/>
        </w:trPr>
        <w:tc>
          <w:tcPr>
            <w:tcW w:type="dxa" w:w="2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电池类型</w:t>
            </w:r>
          </w:p>
        </w:tc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是否涉及</w:t>
            </w:r>
          </w:p>
        </w:tc>
        <w:tc>
          <w:tcPr>
            <w:tcW w:type="dxa" w:w="4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判定说明与涉及SKU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【涉及SKU/型号，为M/N/O类或&gt;25kg的L类车辆牵引供电】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LMT电池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【涉及SKU/型号，为≤25kg的轻型交通工具供电】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工业电池（&gt;2kWh）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【涉及SKU/型号，含固定储能系统电池】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便携式 / SLI电池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【是/否】</w:t>
            </w:r>
          </w:p>
        </w:tc>
        <w:tc>
          <w:tcPr>
            <w:tcW w:type="dxa" w:w="4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【不适用护照，但适用标签/EPR义务】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第二章 评估方法论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2.1 三维度核查体系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核查维度</w:t>
            </w:r>
          </w:p>
        </w:tc>
        <w:tc>
          <w:tcPr>
            <w:tcW w:type="dxa" w:w="64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核查方式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法规条款映射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建立71数据点×适用电池类型（EV/LMT/工业）映射矩阵，逐项标注强制适用/条件适用/不适用/暂不填报，附法规条款依据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证据链核查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每项判断必须有书面证据：证书、测试报告、制度文件、系统截图、供应商问卷回执；逐项登记证据索引，无证据即判未满足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差距根因分析</w:t>
            </w:r>
          </w:p>
        </w:tc>
        <w:tc>
          <w:tcPr>
            <w:tcW w:type="dxa" w:w="64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每个差距项追溯根因并归类：数据缺失、流程缺失、技术缺失、供应商缺失，根因决定整改动作与预算归属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2.2 L1-L4 判定层次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000"/>
        <w:gridCol w:w="7026"/>
      </w:tblGrid>
      <w:tr>
        <w:trPr>
          <w:cantSplit/>
          <w:tblHeader/>
        </w:trPr>
        <w:tc>
          <w:tcPr>
            <w:tcW w:type="dxa" w:w="2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层次</w:t>
            </w:r>
          </w:p>
        </w:tc>
        <w:tc>
          <w:tcPr>
            <w:tcW w:type="dxa" w:w="70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判定内容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L1 有没有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数据/文件是否存在（如CE证书、碳足迹报告、BMS能否输出SoH）；L1不通过直接判红灯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L2 对不对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内容是否符合法规口径：测试方法是否法规认可、计量单位是否正确、责任主体是否适格、声明是否与条款一致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L3 全不全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是否覆盖全部适用SKU、全部生产工厂、全部相关供应商；证书范围与实际出口产品是否一一对应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L4 新不新</w:t>
            </w:r>
          </w:p>
        </w:tc>
        <w:tc>
          <w:tcPr>
            <w:tcW w:type="dxa" w:w="70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数据是否最新：证书是否在有效期、报告是否对应现行配方工艺、动态数据是否持续更新、法规变化后是否同步修订</w:t>
            </w:r>
          </w:p>
        </w:tc>
      </w:tr>
    </w:tbl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判定规则：四个层次依次递进——L1不通过无需再评后续层次；L1通过但L2不通过按“部分满足”处理；L1-L4全部通过才判“已满足”。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2.3 证据标准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核查方法为文件审阅、人员访谈、系统演示、证据采集四种方式交叉验证。证据须可复核、在有效期、覆盖全部适用SKU；每项证据登记来源、日期、版本与覆盖范围。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示例：CE认证须看到证书扫描件+公告机构名称及编号+覆盖型号清单+有效期+测试报告编号；再生材料含量须看到供应商再生含量声明+质量平衡计算表+口径说明+第三方核验证明（如适用）。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第三章 71数据项核查结果总览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依据欧委会《Digital Battery Passport – data points by category》指南，71个数据点按九大类组织。下表按数据类别汇总满足情况：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700"/>
        <w:gridCol w:w="3000"/>
        <w:gridCol w:w="1100"/>
        <w:gridCol w:w="1100"/>
        <w:gridCol w:w="1100"/>
        <w:gridCol w:w="1100"/>
        <w:gridCol w:w="926"/>
      </w:tblGrid>
      <w:tr>
        <w:trPr>
          <w:cantSplit/>
          <w:tblHeader/>
        </w:trPr>
        <w:tc>
          <w:tcPr>
            <w:tcW w:type="dxa" w:w="7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#</w:t>
            </w:r>
          </w:p>
        </w:tc>
        <w:tc>
          <w:tcPr>
            <w:tcW w:type="dxa" w:w="3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数据类别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已满足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部分满足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缺失</w:t>
            </w:r>
          </w:p>
        </w:tc>
        <w:tc>
          <w:tcPr>
            <w:tcW w:type="dxa" w:w="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满足率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电池身份信息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约2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负责任采购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再生材料含量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约6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性能与耐久性参数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约14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标签与合规声明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详细材料组成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约5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合格评定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3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动态使用数据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约21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【Y】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【Z】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【XX%】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汇总：应满足【X】项，已满足【Y】项，部分满足【Z】项，缺失【W】项，整体满足率【XX%】（不适用/暂不填报项不计入分母）。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第四章 32项核查结果详述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本章按A-F六个维度分节。每项包含核查要点、现状描述、书面证据与四级判定；判定取值为“已满足/部分满足/未满足/不适用”。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（一） 维度A：企业与产品范围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本维度共核查5项。其中已满足【X】项、部分满足【Y】项、未满足【Z】项。主要发现：【填写2-3句概述】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企业基本信息完备性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核查要点：制造商名称、地址、联系方式须写入电池护照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【现状描述】；证据【E-XX】；方法：查阅营业执照、海关记录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电池产品类别判定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核查要点：按Art.77(1)判定LMT/工业(&gt;2kWh)/EV强制适用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【现状描述】；证据【E-XX】；方法：逐SKU核对规格书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出口欧盟业务与目的国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核查要点：影响合规优先级与时间表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【现状描述】；证据【E-XX】；方法：调取报关单、客户订单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制造地信息完整性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核查要点：制造地点信息须进入护照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【现状描述】；证据【E-XX】；方法：盘点工厂与OEM清单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A5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品牌/型号/序列号体系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核查要点：型号信息须进入护照；护照以单块电池为对象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【现状描述】；证据【E-XX】；方法：检查命名规则与唯一性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（二） 维度B：合规资质与技术文件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本维度共核查6项。其中已满足【X】项、部分满足【Y】项、未满足【Z】项。主要发现：【填写2-3句概述】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CE认证与EU符合性声明(DoC)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核查要点：投放欧盟市场的基本前提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【现状描述】；证据【E-XX】；方法：核验证书、测试报告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标签与铭牌合规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核查要点：附录VI：容量、化学体系、收集符号、镉/铅标识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【现状描述】；证据【E-XX】；方法：对照附录VI核对实物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碳足迹声明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核查要点：Art.7：按授权法案时间表分阶段强制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【现状描述】；证据【E-XX】；方法：确认LCA机构委托情况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供应链尽职调查政策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核查要点：Art.47-51：含钴/锂/镍/天然石墨且&gt;2kWh须尽调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【现状描述】；证据【E-XX】；方法：查阅尽调政策文件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技术文件体系化程度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核查要点：DoC支撑文件须可随时调取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【现状描述】；证据【E-XX】；方法：抽查文件完整性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B6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EPR注册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核查要点：Art.55起：生产者注册与EPR义务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【现状描述】；证据【E-XX】；方法：核对成员国注册记录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（三） 维度C：护照数据项准备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本维度共核查9项。其中已满足【X】项、部分满足【Y】项、未满足【Z】项。主要发现：【填写2-3句概述】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通用制造信息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核查要点：制造商信息、制造日期、地点、类别、化学体系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【现状描述】；证据【E-XX】；方法：核对数据格式完整性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技术参数数据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核查要点：标称电压、额定容量、额定功率/能量、重量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【现状描述】；证据【E-XX】；方法：对照规格书核对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预期寿命与质保信息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核查要点：预期寿命、质保条款、预期循环次数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【现状描述】；证据【E-XX】；方法：核对研发数据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再生材料含量数据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核查要点：Art.8：钴/锂/镍/铅再生含量比例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【现状描述】；证据【E-XX】；方法：核对供应商数据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关键原材料与组件信息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核查要点：电池组件与关键原材料(CRM)信息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【现状描述】；证据【E-XX】；方法：核对BOM表覆盖度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C6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拆解信息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核查要点：拆解/移除/更换说明与安全注意事项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【现状描述】；证据【E-XX】；方法：工程文档可提取性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C7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安全措施信息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核查要点：安全运行条件与防护措施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【现状描述】；证据【E-XX】；方法：核对话书、测试报告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C8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电池状态数据(SoH)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核查要点：电池状态数据可获取性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【现状描述】；证据【E-XX】；方法：核对BMS读取能力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C9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有害物质信息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核查要点：镉、铅等有害物质含量信息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【现状描述】；证据【E-XX】；方法：核对检测报告覆盖度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（四） 维度D：供应链数据获取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一级供应商清单完整性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核查要点：护照数据与尽调的数据源头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【现状描述】；证据【E-XX】；方法：盘点一级供应商清单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二级关键供应商识别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核查要点：关键原材料冶炼厂/精炼厂与原产国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【现状描述】；证据【E-XX】；方法：供应商问卷溯源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供应商数据提供能力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核查要点：影响采集周期与交付排期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【现状描述】；证据【E-XX】；方法：抽样测试问卷回复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D4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商业机密分级披露机制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核查要点：Art.78：区分公开与受限访问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【现状描述】；证据【E-XX】；方法：检查分级审批流程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（五） 维度E：IT系统与数据载体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QR码方案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核查要点：Art.77：电池须附二维码（分阶段实施）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【现状描述】；证据【E-XX】；方法：确认生成/印刷方案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数据护照系统对接能力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核查要点：Art.77-78：护照数据经欧盟系统存取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【现状描述】；证据【E-XX】；方法：评估IT对接能力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内部数据管理系统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核查要点：影响数据持续维护效率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【现状描述】；证据【E-XX】；方法：评估工具化程度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E4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数据安全与访问控制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核查要点：Art.78(4)：防泄露防篡改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【现状描述】；证据【E-XX】；方法：检查权限管理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（六） 维度F：管理流程与人员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本维度共核查4项。其中已满足【X】项、部分满足【Y】项、未满足【Z】项。主要发现：【填写2-3句概述】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800"/>
        <w:gridCol w:w="1800"/>
        <w:gridCol w:w="2500"/>
        <w:gridCol w:w="2926"/>
        <w:gridCol w:w="1000"/>
      </w:tblGrid>
      <w:tr>
        <w:trPr>
          <w:cantSplit/>
          <w:tblHeader/>
        </w:trPr>
        <w:tc>
          <w:tcPr>
            <w:tcW w:type="dxa" w:w="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5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核查要点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现状、证据与方法</w:t>
            </w:r>
          </w:p>
        </w:tc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F1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内部责任人与跨部门小组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核查要点：Art.17：生产者总体责任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【现状描述】；证据【E-XX】；方法：确认负责人及协同机制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F2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数据维护更新流程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核查要点：Art.77(3)：动态数据持续更新义务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【现状描述】；证据【E-XX】；方法：检查更新频率与责任人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F3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主管机关查验应对流程</w:t>
            </w:r>
          </w:p>
        </w:tc>
        <w:tc>
          <w:tcPr>
            <w:tcW w:type="dxa" w:w="2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核查要点：Art.80：市场监管机构查验配合义务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【现状描述】；证据【E-XX】；方法：检查响应流程与证据留存</w:t>
            </w:r>
          </w:p>
        </w:tc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  <w:tr>
        <w:trPr>
          <w:cantSplit/>
        </w:trPr>
        <w:tc>
          <w:tcPr>
            <w:tcW w:type="dxa" w:w="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1"/>
                <w:szCs w:val="21"/>
              </w:rPr>
              <w:t xml:space="preserve">F4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记录保存期限管理</w:t>
            </w:r>
          </w:p>
        </w:tc>
        <w:tc>
          <w:tcPr>
            <w:tcW w:type="dxa" w:w="25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核查要点：护照数据按法定期限保存</w:t>
            </w:r>
          </w:p>
        </w:tc>
        <w:tc>
          <w:tcPr>
            <w:tcW w:type="dxa" w:w="2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【现状描述】；证据【E-XX】；方法：检查档案管理制度</w:t>
            </w:r>
          </w:p>
        </w:tc>
        <w:tc>
          <w:tcPr>
            <w:tcW w:type="dxa" w:w="10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8A8A8A"/>
                <w:sz w:val="21"/>
                <w:szCs w:val="21"/>
              </w:rPr>
              <w:t xml:space="preserve">【判定】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第五章 差距分析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32项核查结果按红黄绿三级归集。红灯为阻塞项，不解决则无法在2027年2月后投放欧盟市场；黄灯为风险项，应限期补充；绿灯为达标项，直接进入护照办理材料池。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5.1 红灯明细（阻塞项）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差距描述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建议时限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【对合规的影响】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5.2 黄灯明细（风险项）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差距描述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建议时限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【差距描述：有基础但不全/过时/覆盖不足】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【对查验结果的影响】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【建议完成时限】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5.3 绿灯明细（达标项）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000"/>
        <w:gridCol w:w="2200"/>
        <w:gridCol w:w="2800"/>
        <w:gridCol w:w="1826"/>
        <w:gridCol w:w="1200"/>
      </w:tblGrid>
      <w:tr>
        <w:trPr>
          <w:cantSplit/>
          <w:tblHeader/>
        </w:trPr>
        <w:tc>
          <w:tcPr>
            <w:tcW w:type="dxa" w:w="10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编号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核查项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证据摘要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  <w:tc>
          <w:tcPr>
            <w:tcW w:type="dxa" w:w="1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【编号】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【核查项名称】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【证据摘要】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进入护照材料池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持续维护要求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5.4 关键差距 TOP5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按“合规影响×修复难度”排序，列出对护照办理进度影响最大的五项差距：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900"/>
        <w:gridCol w:w="2800"/>
        <w:gridCol w:w="3200"/>
        <w:gridCol w:w="2126"/>
      </w:tblGrid>
      <w:tr>
        <w:trPr>
          <w:cantSplit/>
          <w:tblHeader/>
        </w:trPr>
        <w:tc>
          <w:tcPr>
            <w:tcW w:type="dxa" w:w="9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排名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关键差距</w:t>
            </w:r>
          </w:p>
        </w:tc>
        <w:tc>
          <w:tcPr>
            <w:tcW w:type="dxa" w:w="3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合规影响</w:t>
            </w:r>
          </w:p>
        </w:tc>
        <w:tc>
          <w:tcPr>
            <w:tcW w:type="dxa" w:w="21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建议动作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【差距项】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【影响描述】</w:t>
            </w:r>
          </w:p>
        </w:tc>
        <w:tc>
          <w:tcPr>
            <w:tcW w:type="dxa" w:w="21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【建议动作】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第六章 综合评级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维度得分 =（已满足项×1 + 部分满足项×0.5）÷ 适用项数 × 100；不适用项不计入分母。六维得分按下列权重加权汇总。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4200"/>
        <w:gridCol w:w="1600"/>
        <w:gridCol w:w="1400"/>
        <w:gridCol w:w="1826"/>
      </w:tblGrid>
      <w:tr>
        <w:trPr>
          <w:cantSplit/>
          <w:tblHeader/>
        </w:trPr>
        <w:tc>
          <w:tcPr>
            <w:tcW w:type="dxa" w:w="4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核查维度</w:t>
            </w:r>
          </w:p>
        </w:tc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维度得分</w:t>
            </w:r>
          </w:p>
        </w:tc>
        <w:tc>
          <w:tcPr>
            <w:tcW w:type="dxa" w:w="1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权重</w:t>
            </w:r>
          </w:p>
        </w:tc>
        <w:tc>
          <w:tcPr>
            <w:tcW w:type="dxa" w:w="1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加权得分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① 基本合规与身份信息（A）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② 技术文档与合格评定（B）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③ 碳足迹与环境声明（C）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15%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④ 材料与供应链（D）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⑤ 性能与耐久性（E+性能项）</w:t>
            </w:r>
          </w:p>
        </w:tc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15%</w:t>
            </w:r>
          </w:p>
        </w:tc>
        <w:tc>
          <w:tcPr>
            <w:tcW w:type="dxa" w:w="1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  <w:tr>
        <w:trPr>
          <w:cantSplit/>
        </w:trPr>
        <w:tc>
          <w:tcPr>
            <w:tcW w:type="dxa" w:w="4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⑥ 数据系统与动态数据（F+数据项）</w:t>
            </w:r>
          </w:p>
        </w:tc>
        <w:tc>
          <w:tcPr>
            <w:tcW w:type="dxa" w:w="16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【XX】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10%</w:t>
            </w:r>
          </w:p>
        </w:tc>
        <w:tc>
          <w:tcPr>
            <w:tcW w:type="dxa" w:w="1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【加权得分】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60" w:line="320"/>
      </w:pPr>
      <w:r>
        <w:rPr>
          <w:rFonts w:ascii="Times New Roman" w:cs="Times New Roman" w:eastAsia="宋体" w:hAnsi="Times New Roman"/>
          <w:b/>
          <w:bCs/>
        </w:rPr>
        <w:t xml:space="preserve">加权总分：</w:t>
      </w:r>
      <w:r>
        <w:rPr>
          <w:rFonts w:ascii="Times New Roman" w:cs="Times New Roman" w:eastAsia="宋体" w:hAnsi="Times New Roman"/>
          <w:b/>
          <w:bCs/>
          <w:color w:val="1A237E"/>
          <w:sz w:val="26"/>
          <w:szCs w:val="26"/>
        </w:rPr>
        <w:t xml:space="preserve">【XX 分】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600"/>
        <w:gridCol w:w="1800"/>
        <w:gridCol w:w="5626"/>
      </w:tblGrid>
      <w:tr>
        <w:trPr>
          <w:cantSplit/>
          <w:tblHeader/>
        </w:trPr>
        <w:tc>
          <w:tcPr>
            <w:tcW w:type="dxa" w:w="16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综合评级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总分区间</w:t>
            </w:r>
          </w:p>
        </w:tc>
        <w:tc>
          <w:tcPr>
            <w:tcW w:type="dxa" w:w="56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含义与建议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2E7D32"/>
                <w:sz w:val="21"/>
                <w:szCs w:val="21"/>
              </w:rPr>
              <w:t xml:space="preserve">绿色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≥80分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基础扎实，可快速进入注册上线准备，仅需补齐零星项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E65100"/>
                <w:sz w:val="21"/>
                <w:szCs w:val="21"/>
              </w:rPr>
              <w:t xml:space="preserve">黄色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50-79分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存在系统性差距，需按路线图在3-6个月内完成建设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B71C1C"/>
                <w:sz w:val="21"/>
                <w:szCs w:val="21"/>
              </w:rPr>
              <w:t xml:space="preserve">红色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&lt;50分</w:t>
            </w:r>
          </w:p>
        </w:tc>
        <w:tc>
          <w:tcPr>
            <w:tcW w:type="dxa" w:w="56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差距涉及多个基础环节，需立即启动、分阶段重建并预留缓冲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  <w:b w:val="false"/>
          <w:bCs w:val="false"/>
        </w:rPr>
        <w:t xml:space="preserve">评级结论：【客户名称】本次综合评级为【绿色/黄色/红色】，加权总分【XX】分。【2-3句结论说明】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第七章 差距根因分析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对每一个差距项追溯根因并归入四类，根因类型决定整改动作与预算归属；同一差距可能存在多重根因，按主因归类并注明次因。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300"/>
        <w:gridCol w:w="2400"/>
        <w:gridCol w:w="2400"/>
        <w:gridCol w:w="1400"/>
        <w:gridCol w:w="1526"/>
      </w:tblGrid>
      <w:tr>
        <w:trPr>
          <w:cantSplit/>
          <w:tblHeader/>
        </w:trPr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根因类型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典型表现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诊断问题</w:t>
            </w:r>
          </w:p>
        </w:tc>
        <w:tc>
          <w:tcPr>
            <w:tcW w:type="dxa" w:w="1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涉及差距项</w:t>
            </w:r>
          </w:p>
        </w:tc>
        <w:tc>
          <w:tcPr>
            <w:tcW w:type="dxa" w:w="15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整改方向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数据缺失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有数据但散落在个人电脑未收集 / 业务中根本未产生该数据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数据是否曾产生？若产生过，存在哪里、谁能调取？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【归集/补测安排】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流程缺失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没有数据管理流程、跨部门责任不清、数据更新无制度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有没有书面流程规定谁产出、谁审核、多久更新？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【建制/责任分工】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技术缺失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检测设备与方法不支持、IT系统无相应字段或接口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现有设备与系统能否产出/承载该数据？改造还是新建？</w:t>
            </w:r>
          </w:p>
        </w:tc>
        <w:tc>
          <w:tcPr>
            <w:tcW w:type="dxa" w:w="1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【设备/IT改造方案】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供应商缺失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上游不提供数据 / 供应商自己也没有 / 需更换供应商</w:t>
            </w:r>
          </w:p>
        </w:tc>
        <w:tc>
          <w:tcPr>
            <w:tcW w:type="dxa" w:w="2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是否实测过供应商配合度？能否通过合同条款约束？</w:t>
            </w:r>
          </w:p>
        </w:tc>
        <w:tc>
          <w:tcPr>
            <w:tcW w:type="dxa" w:w="14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【涉及项：编号列表】</w:t>
            </w:r>
          </w:p>
        </w:tc>
        <w:tc>
          <w:tcPr>
            <w:tcW w:type="dxa" w:w="15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【问卷/合同/替代供应商】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第八章 整改路线图建议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按三阶段安排整改：0-3个月消除红灯阻塞项，3-6个月补齐黄灯风险项并完成系统建设，6-12个月实现常态化维护与注册上线。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800"/>
        <w:gridCol w:w="1900"/>
        <w:gridCol w:w="2926"/>
        <w:gridCol w:w="1300"/>
        <w:gridCol w:w="1100"/>
      </w:tblGrid>
      <w:tr>
        <w:trPr>
          <w:cantSplit/>
          <w:tblHeader/>
        </w:trPr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W w:type="dxa" w:w="19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目标</w:t>
            </w:r>
          </w:p>
        </w:tc>
        <w:tc>
          <w:tcPr>
            <w:tcW w:type="dxa" w:w="2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关键动作</w:t>
            </w:r>
          </w:p>
        </w:tc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覆盖差距</w:t>
            </w:r>
          </w:p>
        </w:tc>
        <w:tc>
          <w:tcPr>
            <w:tcW w:type="dxa" w:w="11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责任与里程碑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第一阶段 0-3个月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立即启动 · 消除红灯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指定合规负责人与跨部门小组；补齐DoC与标签差距；启动供应商问卷；完成法规适配矩阵复核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【红灯项编号】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第二阶段 3-6个月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短期补齐 · 系统建设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供应商数据采集与催收；数据手册与型号数据卡编制；委托LCA机构；护照系统对接与QR码落地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【黄灯项编号】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第三阶段 6-12个月</w:t>
            </w:r>
          </w:p>
        </w:tc>
        <w:tc>
          <w:tcPr>
            <w:tcW w:type="dxa" w:w="1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中期完善 · 注册上线</w:t>
            </w:r>
          </w:p>
        </w:tc>
        <w:tc>
          <w:tcPr>
            <w:tcW w:type="dxa" w:w="2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动态数据更新机制运行；数据核验与内部审计；办理护照数据提交与注册；建立年度托管与查验应对机制</w:t>
            </w:r>
          </w:p>
        </w:tc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【全部遗留项】</w:t>
            </w:r>
          </w:p>
        </w:tc>
        <w:tc>
          <w:tcPr>
            <w:tcW w:type="dxa" w:w="11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【责任部门/里程碑】</w:t>
            </w:r>
          </w:p>
        </w:tc>
      </w:tr>
    </w:tbl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第九章 结论与下一步建议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【结论：客户整体合规水位、最紧迫的差距、在强制生效日前完成整改的可行性判断。】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9.1 下一步服务衔接建议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数据规划与手册编制：按《71数据项标准清单》建立型号数据卡，完成数据归集与口径统一；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供应商数据收集辅导：代发回收《供应商数据问卷（中英双语）》并执行催收SOP，完成二级溯源；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eIDAS与欧盟授权代表办理、欧盟注册中心注册辅导：数据齐备后办理护照数据提交与注册；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Times New Roman" w:cs="Times New Roman" w:eastAsia="宋体" w:hAnsi="Times New Roman"/>
        </w:rPr>
        <w:t xml:space="preserve">年度托管：评估报告数据在服务期内持续更新，不重复收取评估费。</w:t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以上服务可整体委托，也可按阶段分别委托。</w:t>
      </w:r>
    </w:p>
    <w:p>
      <w:pPr>
        <w:pStyle w:val="Heading1"/>
        <w:pageBreakBefore/>
      </w:pPr>
      <w:r>
        <w:rPr>
          <w:rFonts w:ascii="Times New Roman" w:cs="Times New Roman" w:eastAsia="宋体" w:hAnsi="Times New Roman"/>
          <w:b/>
          <w:bCs/>
          <w:color w:val="1A237E"/>
          <w:sz w:val="32"/>
          <w:szCs w:val="32"/>
        </w:rPr>
        <w:t xml:space="preserve">附录</w:t>
      </w:r>
    </w:p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附录一 术语表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tcW w:type="dxa" w:w="6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释义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DPP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Digital Product Passport，数字产品护照；本报告语境下即欧盟电池护照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 / LMT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电动汽车电池 / 轻型交通工具（电动自行车、滑板车等）电池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DoC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EU Declaration of Conformity，欧盟符合性声明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EPR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Extended Producer Responsibility，生产者延伸责任（注册）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SoH / SOC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电池健康状态 / 荷电状态</w:t>
            </w:r>
          </w:p>
        </w:tc>
      </w:tr>
      <w:tr>
        <w:trPr>
          <w:cantSplit/>
        </w:trPr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LCA / PEF</w:t>
            </w:r>
          </w:p>
        </w:tc>
        <w:tc>
          <w:tcPr>
            <w:tcW w:type="dxa" w:w="68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生命周期评价 / 欧盟产品环境足迹方法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CRM</w:t>
            </w:r>
          </w:p>
        </w:tc>
        <w:tc>
          <w:tcPr>
            <w:tcW w:type="dxa" w:w="6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Critical Raw Materials，关键原材料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附录二 关键日期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2800"/>
        <w:gridCol w:w="2400"/>
        <w:gridCol w:w="3826"/>
      </w:tblGrid>
      <w:tr>
        <w:trPr>
          <w:cantSplit/>
          <w:tblHeader/>
        </w:trPr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法规节点</w:t>
            </w:r>
          </w:p>
        </w:tc>
        <w:tc>
          <w:tcPr>
            <w:tcW w:type="dxa" w:w="24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W w:type="dxa" w:w="38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对客户的影响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供应链尽职调查义务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2025-08-18（已生效）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含钴/锂/镍/天然石墨且容量大于2kWh的电池须建立尽职调查政策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二维码标识分阶段要求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2026-02-18起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电池须附二维码，扫码直达电池护照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标签新要求分阶段实施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2026-08-18起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容量、化学体系、单独收集符号、镉/铅标识等按附录VI实施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负责任采购信息适用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2027-08-18起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Art.52(3)所述尽调报告中的负责任采购信息进入护照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电池护照强制生效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2027-02-18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LMT电池、容量大于2kWh工业电池、EV电池须持有效护照方可在欧盟投放市场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碳足迹声明</w:t>
            </w:r>
          </w:p>
        </w:tc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按授权法案时间表</w:t>
            </w:r>
          </w:p>
        </w:tc>
        <w:tc>
          <w:tcPr>
            <w:tcW w:type="dxa" w:w="38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EV电池等分阶段强制，须委托LCA机构测算</w:t>
            </w:r>
          </w:p>
        </w:tc>
      </w:tr>
    </w:tbl>
    <w:p>
      <w:pPr>
        <w:pStyle w:val="Heading2"/>
      </w:pPr>
      <w:r>
        <w:rPr>
          <w:rFonts w:ascii="Times New Roman" w:cs="Times New Roman" w:eastAsia="宋体" w:hAnsi="Times New Roman"/>
          <w:b/>
          <w:bCs/>
          <w:color w:val="2E7D32"/>
          <w:sz w:val="26"/>
          <w:szCs w:val="26"/>
        </w:rPr>
        <w:t xml:space="preserve">附录三 证据索引</w:t>
      </w:r>
    </w:p>
    <w:p>
      <w:pPr>
        <w:spacing w:after="120" w:line="320"/>
      </w:pPr>
      <w:r>
        <w:rPr>
          <w:rFonts w:ascii="Times New Roman" w:cs="Times New Roman" w:eastAsia="宋体" w:hAnsi="Times New Roman"/>
          <w:i/>
          <w:iCs/>
          <w:color w:val="8A8A8A"/>
          <w:sz w:val="21"/>
          <w:szCs w:val="21"/>
        </w:rPr>
        <w:t xml:space="preserve">逐项登记核查中采信的书面证据，与第四章证据编号一一对应。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CellMar>
          <w:top w:type="dxa" w:w="60"/>
          <w:left w:type="dxa" w:w="110"/>
          <w:bottom w:type="dxa" w:w="60"/>
          <w:right w:type="dxa" w:w="110"/>
        </w:tblCellMar>
      </w:tblPr>
      <w:tblGrid>
        <w:gridCol w:w="1300"/>
        <w:gridCol w:w="2800"/>
        <w:gridCol w:w="2200"/>
        <w:gridCol w:w="1800"/>
        <w:gridCol w:w="926"/>
      </w:tblGrid>
      <w:tr>
        <w:trPr>
          <w:cantSplit/>
          <w:tblHeader/>
        </w:trPr>
        <w:tc>
          <w:tcPr>
            <w:tcW w:type="dxa" w:w="13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2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证据名称</w:t>
            </w:r>
          </w:p>
        </w:tc>
        <w:tc>
          <w:tcPr>
            <w:tcW w:type="dxa" w:w="22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来源</w:t>
            </w:r>
          </w:p>
        </w:tc>
        <w:tc>
          <w:tcPr>
            <w:tcW w:type="dxa" w:w="1800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日期/版本</w:t>
            </w:r>
          </w:p>
        </w:tc>
        <w:tc>
          <w:tcPr>
            <w:tcW w:type="dxa" w:w="926"/>
            <w:shd w:fill="1A237E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FFFFFF"/>
                <w:sz w:val="21"/>
                <w:szCs w:val="21"/>
              </w:rPr>
              <w:t xml:space="preserve">覆盖范围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  <w:tr>
        <w:trPr>
          <w:cantSplit/>
        </w:trPr>
        <w:tc>
          <w:tcPr>
            <w:tcW w:type="dxa" w:w="13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【E-01】</w:t>
            </w:r>
          </w:p>
        </w:tc>
        <w:tc>
          <w:tcPr>
            <w:tcW w:type="dxa" w:w="2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【证据名称】</w:t>
            </w:r>
          </w:p>
        </w:tc>
        <w:tc>
          <w:tcPr>
            <w:tcW w:type="dxa" w:w="22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【来源/提供部门】</w:t>
            </w:r>
          </w:p>
        </w:tc>
        <w:tc>
          <w:tcPr>
            <w:tcW w:type="dxa" w:w="1800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【日期/版本】</w:t>
            </w:r>
          </w:p>
        </w:tc>
        <w:tc>
          <w:tcPr>
            <w:tcW w:type="dxa" w:w="926"/>
            <w:shd w:fill="F5F6FA" w:color="auto" w:val="auto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宋体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【覆盖范围（SKU/工厂/供应商）】</w:t>
            </w:r>
          </w:p>
        </w:tc>
      </w:tr>
    </w:tbl>
    <w:p>
      <w:pPr>
        <w:spacing w:after="60"/>
      </w:pPr>
      <w:r>
        <w:rPr>
          <w:rFonts w:ascii="Times New Roman" w:cs="Times New Roman" w:eastAsia="宋体" w:hAnsi="Times New Roman"/>
        </w:rPr>
        <w:t xml:space="preserve"/>
      </w:r>
    </w:p>
    <w:p>
      <w:pPr>
        <w:spacing w:after="120" w:line="320"/>
      </w:pPr>
      <w:r>
        <w:rPr>
          <w:rFonts w:ascii="Times New Roman" w:cs="Times New Roman" w:eastAsia="宋体" w:hAnsi="Times New Roman"/>
        </w:rPr>
        <w:t xml:space="preserve">单项评级口径：已满足=证据完整、在有效期、覆盖全部适用SKU；部分满足=有基础需补强；未满足=无材料或无流程；不适用项不计入分母。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color w:val="546E7A"/>
        <w:sz w:val="18"/>
        <w:szCs w:val="18"/>
      </w:rPr>
      <w:t xml:space="preserve">守信财税 · DPP业务线    第 </w:t>
    </w:r>
    <w:r>
      <w:rPr>
        <w:rFonts w:ascii="Times New Roman" w:cs="Times New Roman" w:eastAsia="宋体" w:hAnsi="Times New Roman"/>
        <w:color w:val="546E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宋体" w:hAnsi="Times New Roman"/>
        <w:color w:val="546E7A"/>
        <w:sz w:val="18"/>
        <w:szCs w:val="18"/>
      </w:rPr>
      <w:t xml:space="preserve"> 页 / 共 </w:t>
    </w:r>
    <w:r>
      <w:rPr>
        <w:rFonts w:ascii="Times New Roman" w:cs="Times New Roman" w:eastAsia="宋体" w:hAnsi="Times New Roman"/>
        <w:color w:val="546E7A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Times New Roman" w:cs="Times New Roman" w:eastAsia="宋体" w:hAnsi="Times New Roman"/>
        <w:color w:val="546E7A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237E" w:sz="6" w:space="4"/>
      </w:pBdr>
      <w:jc w:val="right"/>
    </w:pPr>
    <w:r>
      <w:rPr>
        <w:rFonts w:ascii="Times New Roman" w:cs="Times New Roman" w:eastAsia="宋体" w:hAnsi="Times New Roman"/>
        <w:b/>
        <w:bCs/>
        <w:color w:val="1A237E"/>
        <w:sz w:val="18"/>
        <w:szCs w:val="18"/>
      </w:rPr>
      <w:t xml:space="preserve">DPP合规差距评估报告 · 【客户公司全称】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DPP合规差距评估报告</dc:title>
  <dc:creator>守信财税</dc:creator>
  <cp:lastModifiedBy>Un-named</cp:lastModifiedBy>
  <cp:revision>1</cp:revision>
  <dcterms:created xsi:type="dcterms:W3CDTF">2026-09-26T01:31:16.074Z</dcterms:created>
  <dcterms:modified xsi:type="dcterms:W3CDTF">2026-09-26T01:31:16.074Z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