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22"/>
          <w:szCs w:val="22"/>
        </w:rPr>
        <w:t xml:space="preserve">◆ 欧盟电池法规 (EU) 2023/1542 ◆</w:t>
      </w:r>
    </w:p>
    <w:p>
      <w:pPr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240" w:before="20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52"/>
          <w:szCs w:val="52"/>
        </w:rPr>
        <w:t xml:space="preserve">DPP合规建设下一步服务建议书</w:t>
      </w:r>
    </w:p>
    <w:p>
      <w:pPr>
        <w:pBdr>
          <w:bottom w:val="single" w:color="2E7D32" w:sz="18" w:space="10"/>
        </w:pBdr>
        <w:spacing w:after="400" w:before="0"/>
        <w:jc w:val="center"/>
      </w:pPr>
      <w:r>
        <w:rPr>
          <w:sz w:val="2"/>
          <w:szCs w:val="2"/>
        </w:rPr>
        <w:t xml:space="preserve"/>
      </w:r>
    </w:p>
    <w:p>
      <w:pPr>
        <w:spacing w:after="300" w:before="100"/>
        <w:jc w:val="center"/>
      </w:pPr>
      <w:r>
        <w:rPr>
          <w:rFonts w:ascii="Times New Roman" w:cs="Times New Roman" w:eastAsia="宋体" w:hAnsi="Times New Roman"/>
          <w:color w:val="424242"/>
          <w:sz w:val="26"/>
          <w:szCs w:val="26"/>
        </w:rPr>
        <w:t xml:space="preserve">基于差距评估结果 · 从诊断到上线的行动方案</w:t>
      </w:r>
    </w:p>
    <w:p>
      <w:pPr>
        <w:spacing w:after="600" w:before="200"/>
        <w:jc w:val="center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数据建设 → 注册上线 → 年度托管</w:t>
      </w:r>
    </w:p>
    <w:p>
      <w:pPr>
        <w:spacing w:after="5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283593"/>
          <w:sz w:val="24"/>
          <w:szCs w:val="24"/>
        </w:rPr>
        <w:t xml:space="preserve">守信财税 · DPP业务线</w:t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color w:val="616161"/>
          <w:sz w:val="22"/>
          <w:szCs w:val="22"/>
        </w:rPr>
        <w:t xml:space="preserve">2026年9月</w:t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14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一、评估结论回顾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《DPP差距评估报告》（报告编号：____________，评估基准日：____年__月__日）已于____年__月__日向贵司正式交付。核心结论摘要如下：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235"/>
        <w:gridCol w:w="2422"/>
        <w:gridCol w:w="2235"/>
        <w:gridCol w:w="2422"/>
      </w:tblGrid>
      <w:tr>
        <w:trPr>
          <w:cantSplit/>
        </w:trPr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综合评级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□绿色（≥80分）  □黄色（50-79分）  □红色（&lt;50分）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综合得分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        分</w:t>
            </w:r>
          </w:p>
        </w:tc>
      </w:tr>
      <w:tr>
        <w:trPr>
          <w:cantSplit/>
        </w:trPr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红灯阻塞项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        项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黄灯风险项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        项</w:t>
            </w:r>
          </w:p>
        </w:tc>
      </w:tr>
      <w:tr>
        <w:trPr>
          <w:cantSplit/>
        </w:trPr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绿灯达标项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        项</w:t>
            </w:r>
          </w:p>
        </w:tc>
        <w:tc>
          <w:tcPr>
            <w:tcW w:type="dxa" w:w="223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关键差距TOP1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一句话关键结论：______________________________________________________________________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（详细内容请参见差距评估报告；本建议书引用的结论如与报告不一致，以正式报告为准。）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二、差距整改总体路径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根据差距评估结论，建议按以下路径推进合规建设，各阶段前后衔接、部分工作可并行实施：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② 数据建设：编制DPP数据手册，完成71个字段的格式定义、责任分配与流程落地；实施BMS/IT改造，打通供应商数据采集链路，完成碳足迹研究与再生含量数据回收；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③ 注册上线：QR码生成/印刷/粘贴产线落地，完成与欧盟护照系统的接口对接和联调，组织护照数据试提交与正式提交，并落实欧盟授权代表、EPR注册等配套安排；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④ 年度托管：动态数据持续更新维护、法规与授权法案跟踪、主管机关查验应对支持、年度合规复核与报告更新。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2027年2月18日为电池护照强制生效的硬性节点，供应商数据链路、碳足迹研究和IT系统改造通常是最长周期项；越早启动，路径选择越多、整体成本越低。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三、推荐服务包及报价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049"/>
        <w:gridCol w:w="3353"/>
        <w:gridCol w:w="1490"/>
        <w:gridCol w:w="2422"/>
      </w:tblGrid>
      <w:tr>
        <w:trPr>
          <w:cantSplit/>
          <w:tblHeader/>
          <w:trHeight w:val="440" w:hRule="atLeast"/>
        </w:trPr>
        <w:tc>
          <w:tcPr>
            <w:tcW w:type="dxa" w:w="2049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服务方案</w:t>
            </w:r>
          </w:p>
        </w:tc>
        <w:tc>
          <w:tcPr>
            <w:tcW w:type="dxa" w:w="335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服务内容</w:t>
            </w:r>
          </w:p>
        </w:tc>
        <w:tc>
          <w:tcPr>
            <w:tcW w:type="dxa" w:w="149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服务周期</w:t>
            </w:r>
          </w:p>
        </w:tc>
        <w:tc>
          <w:tcPr>
            <w:tcW w:type="dxa" w:w="242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服务费用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方案一：数据建设单模块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数据手册编制、71字段与流程落地、供应商问卷与推进、BMS/IT改造支持</w:t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8-14周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¥200,000-450,000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1F8E9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2E7D32"/>
                <w:sz w:val="20"/>
                <w:szCs w:val="20"/>
              </w:rPr>
              <w:t xml:space="preserve">方案二：数据建设 + 注册上线 ★ 推荐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1F8E9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2E7D32"/>
                <w:sz w:val="20"/>
                <w:szCs w:val="20"/>
              </w:rPr>
              <w:t xml:space="preserve">方案一全部内容；QR码方案落地、系统对接联调、护照数据填报与提交、注册辅导；含欧盟注册规费 €6,500-21,000</w:t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1F8E9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2E7D32"/>
                <w:sz w:val="20"/>
                <w:szCs w:val="20"/>
              </w:rPr>
              <w:t xml:space="preserve">16-24周（可并行推进）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1F8E9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2E7D32"/>
                <w:sz w:val="20"/>
                <w:szCs w:val="20"/>
              </w:rPr>
              <w:t xml:space="preserve">¥500,000-1,050,000</w:t>
            </w:r>
          </w:p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2E7D32"/>
                <w:sz w:val="20"/>
                <w:szCs w:val="20"/>
              </w:rPr>
              <w:t xml:space="preserve">+ €6,500-21,000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方案三：全流程 + 首年托管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方案二全部内容，另加首年年度托管：动态数据维护、法规跟踪、查验应对支持、年度复核</w:t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16-24周 + 首年托管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¥580,000-1,550,000</w:t>
            </w:r>
          </w:p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+ €6,500-21,000</w:t>
            </w:r>
          </w:p>
        </w:tc>
      </w:tr>
    </w:tbl>
    <w:p>
      <w:pPr>
        <w:pStyle w:val="Heading2"/>
        <w:keepNext/>
        <w:keepLines/>
        <w:spacing w:after="100" w:before="180" w:line="300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▎</w:t>
      </w:r>
      <w:r>
        <w:rPr>
          <w:rFonts w:ascii="Times New Roman" w:cs="Times New Roman" w:eastAsia="宋体" w:hAnsi="Times New Roman"/>
          <w:b/>
          <w:bCs/>
          <w:color w:val="283593"/>
          <w:sz w:val="25"/>
          <w:szCs w:val="25"/>
        </w:rPr>
        <w:t xml:space="preserve">报价说明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评估费抵扣政策：签约本建议书项下任一服务方案的，贵司已支付的差距评估费按约定比例（建议不超过评估费的50%）在首期服务费中抵扣，评估数据不重复收费；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欧盟注册规费（€6,500-21,000）按服务提供方官方标准执行，可由乙方代收代付或由甲方直接支付，最终以实际发生额为准；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以上报价不含第三方检测/认证/核验费用及现场差旅费用（差旅按实际发生额据实结算）；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付款节奏：合同签署支付50%启动款，交付验收后支付剩余50%；要求加急压缩周期的，加急费用加收30%。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四、实施时间表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490"/>
        <w:gridCol w:w="3726"/>
        <w:gridCol w:w="1304"/>
        <w:gridCol w:w="2794"/>
      </w:tblGrid>
      <w:tr>
        <w:trPr>
          <w:cantSplit/>
          <w:tblHeader/>
          <w:trHeight w:val="420" w:hRule="atLeast"/>
        </w:trPr>
        <w:tc>
          <w:tcPr>
            <w:tcW w:type="dxa" w:w="149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工作阶段</w:t>
            </w:r>
          </w:p>
        </w:tc>
        <w:tc>
          <w:tcPr>
            <w:tcW w:type="dxa" w:w="3726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主要动作</w:t>
            </w:r>
          </w:p>
        </w:tc>
        <w:tc>
          <w:tcPr>
            <w:tcW w:type="dxa" w:w="130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79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建议时间（相对签约）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阶段1 数据建设</w:t>
            </w:r>
          </w:p>
        </w:tc>
        <w:tc>
          <w:tcPr>
            <w:tcW w:type="dxa" w:w="37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数据手册编制、字段与流程落地、供应商问卷推进、BMS/IT改造、碳足迹研究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8-14周</w:t>
            </w:r>
          </w:p>
        </w:tc>
        <w:tc>
          <w:tcPr>
            <w:tcW w:type="dxa" w:w="27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签约后第1-14周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阶段2 注册上线</w:t>
            </w:r>
          </w:p>
        </w:tc>
        <w:tc>
          <w:tcPr>
            <w:tcW w:type="dxa" w:w="37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QR码产线落地、系统对接联调、数据试提交、正式注册上线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8-10周</w:t>
            </w:r>
          </w:p>
        </w:tc>
        <w:tc>
          <w:tcPr>
            <w:tcW w:type="dxa" w:w="27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第12-24周（与阶段1部分并行）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阶段3 查验演练</w:t>
            </w:r>
          </w:p>
        </w:tc>
        <w:tc>
          <w:tcPr>
            <w:tcW w:type="dxa" w:w="37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主管机关查验应对演练、证据归档、项目复盘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2-4周</w:t>
            </w:r>
          </w:p>
        </w:tc>
        <w:tc>
          <w:tcPr>
            <w:tcW w:type="dxa" w:w="27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第22-24周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阶段4 年度托管</w:t>
            </w:r>
          </w:p>
        </w:tc>
        <w:tc>
          <w:tcPr>
            <w:tcW w:type="dxa" w:w="37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动态数据维护、法规跟踪、查验支持、年度复核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W w:type="dxa" w:w="279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正式上线之日起</w:t>
            </w:r>
          </w:p>
        </w:tc>
      </w:tr>
    </w:tbl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注：以上时间安排已考虑并行压缩空间，建议在关键节点前预留4-8周缓冲，确保不晚于2027年2月18日完成全部上线准备。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五、预期收益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一次通过：以差距评估核查底稿为基线开展建设，正式注册一次通过率更高，减少整改返工与时间损耗；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周期可控：16-24周内完成从数据建设到注册上线，确保赶上2027年2月硬性节点，避免产品被拒绝入关；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成本透明：评估费可抵扣、分阶段付款、第三方费用与注册规费单列，评估范围内无隐性收费；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长期稳定：年度托管保障动态数据持续合规，法规更新及时响应，监管查验有专业团队支持；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商业价值：有效电池护照将成为进入欧盟整车厂、品牌商供应链的准入凭证，降低订单流失与违约风险。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六、下一步行动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自本建议书送达之日起10个工作日内确认服务方案并完成签约，可锁定当前报价与优先排期；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签约时支付50%启动款，乙方在1个工作日内完成项目启动、开通加密安全通道；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双方在签约后3个工作日内确定数据建设启动访谈时间及双方项目组名单；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本建议书报价有效期为送达之日起30日；逾期未签约的，报价与排期需重新核定；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如对方案内容有任何疑问，可随时联系乙方项目经理安排专题沟通。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联系方式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049"/>
        <w:gridCol w:w="7265"/>
      </w:tblGrid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服务机构</w:t>
            </w:r>
          </w:p>
        </w:tc>
        <w:tc>
          <w:tcPr>
            <w:tcW w:type="dxa" w:w="726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守信财税 · DPP业务线（北京乾坤生会计师事务所 / 守信财税咨询 联合运营）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726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726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400-XXX-XXXX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电子邮箱</w:t>
            </w:r>
          </w:p>
        </w:tc>
        <w:tc>
          <w:tcPr>
            <w:tcW w:type="dxa" w:w="726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dpp@shouxincaishui.com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响应承诺</w:t>
            </w:r>
          </w:p>
        </w:tc>
        <w:tc>
          <w:tcPr>
            <w:tcW w:type="dxa" w:w="726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工作日2小时内响应，签约后1个工作日内完成项目启动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296" w:bottom="1300" w:left="1296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宋体" w:hAnsi="Times New Roman"/>
        <w:color w:val="757575"/>
        <w:sz w:val="18"/>
        <w:szCs w:val="18"/>
      </w:rPr>
      <w:t xml:space="preserve">守信财税 · 机密文件　第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 / 共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0" w:before="0"/>
      <w:jc w:val="right"/>
    </w:pPr>
    <w:r>
      <w:rPr>
        <w:rFonts w:ascii="Times New Roman" w:cs="Times New Roman" w:eastAsia="宋体" w:hAnsi="Times New Roman"/>
        <w:b/>
        <w:bCs/>
        <w:color w:val="1A237E"/>
        <w:sz w:val="18"/>
        <w:szCs w:val="18"/>
      </w:rPr>
      <w:t xml:space="preserve">守信财税 · DPP业务线</w:t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   |    DPP差距评估工具箱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28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DPP合规建设下一步服务建议书</dc:title>
  <dc:creator>守信财税</dc:creator>
  <dc:description>DPP差距评估工具箱</dc:description>
  <cp:lastModifiedBy>Un-named</cp:lastModifiedBy>
  <cp:revision>1</cp:revision>
  <dcterms:created xsi:type="dcterms:W3CDTF">2026-09-26T01:59:34.350Z</dcterms:created>
  <dcterms:modified xsi:type="dcterms:W3CDTF">2026-09-26T01:59:34.350Z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