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DPP 数字产品护照服务框架</w:t>
      </w:r>
    </w:p>
    <w:p>
      <w:pPr>
        <w:spacing w:after="120"/>
      </w:pPr>
      <w:r>
        <w:t xml:space="preserve">欧盟电池法规合规一站式服务</w:t>
      </w:r>
    </w:p>
    <w:p>
      <w:pPr>
        <w:pStyle w:val="Heading1"/>
      </w:pPr>
      <w:r>
        <w:t xml:space="preserve">一、服务全景</w:t>
      </w:r>
    </w:p>
    <w:p>
      <w:pPr>
        <w:spacing w:after="120"/>
      </w:pPr>
      <w:r>
        <w:t xml:space="preserve">我们为电池企业提供从差距评估到年度托管的全流程合规服务，帮助客户在 2027 年 8 月 18 日电池护照强制实施前完成全部合规准备。</w:t>
      </w:r>
    </w:p>
    <w:p>
      <w:pPr>
        <w:pStyle w:val="Heading2"/>
      </w:pPr>
      <w:r>
        <w:t xml:space="preserve">1.1 四阶段服务体系</w:t>
      </w:r>
    </w:p>
    <w:p>
      <w:pPr>
        <w:pStyle w:val="Heading3"/>
      </w:pPr>
      <w:r>
        <w:t xml:space="preserve">① 差距评估（1-2周）</w:t>
      </w:r>
    </w:p>
    <w:p>
      <w:pPr>
        <w:spacing w:after="80"/>
      </w:pPr>
      <w:r>
        <w:t xml:space="preserve">全面诊断企业现状与法规要求的差距，出具整改优先级路线图。</w:t>
      </w:r>
    </w:p>
    <w:p>
      <w:pPr>
        <w:spacing w:after="80"/>
      </w:pPr>
      <w:r>
        <w:rPr>
          <w:b/>
          <w:bCs/>
        </w:rPr>
        <w:t xml:space="preserve">定价：</w:t>
      </w:r>
      <w:r>
        <w:t xml:space="preserve">基础版 ¥80,000–150,000 / 标准版 ¥200,000–350,000 / 旗舰版 ¥500,000–800,000</w:t>
      </w:r>
    </w:p>
    <w:p>
      <w:pPr>
        <w:pStyle w:val="Heading3"/>
      </w:pPr>
      <w:r>
        <w:t xml:space="preserve">② 数据建设（4-8周）</w:t>
      </w:r>
    </w:p>
    <w:p>
      <w:pPr>
        <w:spacing w:after="80"/>
      </w:pPr>
      <w:r>
        <w:t xml:space="preserve">协助建立 71 个数据点的采集、验证和提交体系。</w:t>
      </w:r>
    </w:p>
    <w:p>
      <w:pPr>
        <w:spacing w:after="80"/>
      </w:pPr>
      <w:r>
        <w:rPr>
          <w:b/>
          <w:bCs/>
        </w:rPr>
        <w:t xml:space="preserve">定价：</w:t>
      </w:r>
      <w:r>
        <w:t xml:space="preserve">标准版 ¥200,000–300,000 / 旗舰版 ¥300,000–450,000</w:t>
      </w:r>
    </w:p>
    <w:p>
      <w:pPr>
        <w:pStyle w:val="Heading3"/>
      </w:pPr>
      <w:r>
        <w:t xml:space="preserve">③ 注册上线（12-16周）</w:t>
      </w:r>
    </w:p>
    <w:p>
      <w:pPr>
        <w:spacing w:after="80"/>
      </w:pPr>
      <w:r>
        <w:t xml:space="preserve">完成电池护照注册、审核和正式发布。</w:t>
      </w:r>
    </w:p>
    <w:p>
      <w:pPr>
        <w:spacing w:after="80"/>
      </w:pPr>
      <w:r>
        <w:rPr>
          <w:b/>
          <w:bCs/>
        </w:rPr>
        <w:t xml:space="preserve">定价：</w:t>
      </w:r>
      <w:r>
        <w:t xml:space="preserve">标准版 ¥300,000–450,000 / 旗舰版 ¥450,000–600,000 + 第三方费用 €6,500–21,000</w:t>
      </w:r>
    </w:p>
    <w:p>
      <w:pPr>
        <w:pStyle w:val="Heading3"/>
      </w:pPr>
      <w:r>
        <w:t xml:space="preserve">④ 年度托管（持续）</w:t>
      </w:r>
    </w:p>
    <w:p>
      <w:pPr>
        <w:spacing w:after="80"/>
      </w:pPr>
      <w:r>
        <w:t xml:space="preserve">法规跟踪、数据维护和应急支持，确保持续合规。</w:t>
      </w:r>
    </w:p>
    <w:p>
      <w:pPr>
        <w:spacing w:after="80"/>
      </w:pPr>
      <w:r>
        <w:rPr>
          <w:b/>
          <w:bCs/>
        </w:rPr>
        <w:t xml:space="preserve">定价：</w:t>
      </w:r>
      <w:r>
        <w:t xml:space="preserve">基础版 ¥80,000–200,000/年 / 标准版 ¥200,000–350,000/年 / 旗舰版 ¥500,000+/年</w:t>
      </w:r>
    </w:p>
    <w:p>
      <w:pPr>
        <w:pStyle w:val="Heading2"/>
      </w:pPr>
      <w:r>
        <w:t xml:space="preserve">1.2 单客户最大价值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¥660,000 – 2,350,000</w:t>
      </w:r>
      <w:r>
        <w:t xml:space="preserve">（首年①+②+③+④旗舰版合计）</w:t>
      </w:r>
    </w:p>
    <w:p>
      <w:pPr>
        <w:pStyle w:val="Heading1"/>
      </w:pPr>
      <w:r>
        <w:t xml:space="preserve">二、核心时间节点</w:t>
      </w:r>
    </w:p>
    <w:p>
      <w:pPr>
        <w:spacing w:after="80"/>
      </w:pPr>
      <w:r>
        <w:rPr>
          <w:b/>
          <w:bCs/>
        </w:rPr>
        <w:t xml:space="preserve">2027年8月18日：</w:t>
      </w:r>
      <w:r>
        <w:t xml:space="preserve">电池护照 Art.77 强制实施，所有进入欧盟市场的电池必须携带护照。</w:t>
      </w:r>
    </w:p>
    <w:p>
      <w:pPr>
        <w:spacing w:after="80"/>
      </w:pPr>
      <w:r>
        <w:rPr>
          <w:b/>
          <w:bCs/>
        </w:rPr>
        <w:t xml:space="preserve">2027年2月18日：</w:t>
      </w:r>
      <w:r>
        <w:t xml:space="preserve">法规公布后 4 年，经济运营商需完成数据准备。</w:t>
      </w:r>
    </w:p>
    <w:p>
      <w:pPr>
        <w:pStyle w:val="Heading1"/>
      </w:pPr>
      <w:r>
        <w:t xml:space="preserve">三、为什么选择我们</w:t>
      </w:r>
    </w:p>
    <w:p>
      <w:pPr>
        <w:spacing w:after="80"/>
      </w:pPr>
      <w:r>
        <w:t xml:space="preserve">• 专业团队：18年财税合规经验，深耕欧盟法规解读</w:t>
      </w:r>
    </w:p>
    <w:p>
      <w:pPr>
        <w:spacing w:after="80"/>
      </w:pPr>
      <w:r>
        <w:t xml:space="preserve">• 全流程服务：从评估到托管，一站式解决</w:t>
      </w:r>
    </w:p>
    <w:p>
      <w:pPr>
        <w:spacing w:after="80"/>
      </w:pPr>
      <w:r>
        <w:t xml:space="preserve">• 空白期优势：市场竞争者少，定价空间大</w:t>
      </w:r>
    </w:p>
    <w:p>
      <w:pPr>
        <w:spacing w:after="120"/>
      </w:pPr>
      <w:r>
        <w:t xml:space="preserve">• 长期价值：年度托管形成持续收入和客户粘性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页，共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20"/>
        <w:szCs w:val="20"/>
      </w:rPr>
      <w:t xml:space="preserve">DPP服务框架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120"/>
      <w:jc w:val="center"/>
    </w:pPr>
    <w:rPr>
      <w:rFonts w:ascii="Times New Roman" w:cs="Times New Roman" w:eastAsia="宋体" w:hAnsi="Times New Roman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40"/>
      <w:outlineLvl w:val="0"/>
    </w:pPr>
    <w:rPr>
      <w:rFonts w:ascii="Times New Roman" w:cs="Times New Roman" w:eastAsia="宋体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180"/>
      <w:outlineLvl w:val="1"/>
    </w:pPr>
    <w:rPr>
      <w:rFonts w:ascii="Times New Roman" w:cs="Times New Roman" w:eastAsia="宋体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40"/>
      <w:outlineLvl w:val="2"/>
    </w:pPr>
    <w:rPr>
      <w:rFonts w:ascii="Times New Roman" w:cs="Times New Roman" w:eastAsia="宋体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2026-09-29T01:21:28.400Z</dcterms:created>
  <dcterms:modified xsi:type="dcterms:W3CDTF">2026-09-29T01:21:28.400Z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