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16"/>
        <w:tblBorders>
          <w:top w:val="none" w:color="FFFFFF" w:sz="0"/>
          <w:left w:val="none" w:color="FFFFFF" w:sz="0"/>
          <w:bottom w:val="none" w:color="FFFFFF" w:sz="0"/>
          <w:right w:val="none" w:color="FFFFFF" w:sz="0"/>
          <w:insideH w:val="none" w:color="FFFFFF" w:sz="0"/>
          <w:insideV w:val="none" w:color="FFFFFF" w:sz="0"/>
        </w:tblBorders>
      </w:tblPr>
      <w:tblGrid>
        <w:gridCol w:w="9216"/>
      </w:tblGrid>
      <w:tr>
        <w:tc>
          <w:tcPr>
            <w:tcW w:type="dxa" w:w="9216"/>
            <w:shd w:fill="1A237E" w:color="auto" w:val="clear"/>
            <w:tcMar>
              <w:top w:type="dxa" w:w="1700"/>
              <w:left w:type="dxa" w:w="700"/>
              <w:bottom w:type="dxa" w:w="200"/>
              <w:right w:type="dxa" w:w="700"/>
            </w:tcMar>
            <w:vAlign w:val="top"/>
          </w:tcPr>
          <w:p>
            <w:pPr>
              <w:spacing w:after="240" w:before="0"/>
              <w:jc w:val="center"/>
            </w:pPr>
            <w:r>
              <w:rPr>
                <w:rFonts w:ascii="Times New Roman" w:cs="Times New Roman" w:eastAsia="黑体" w:hAnsi="Times New Roman"/>
                <w:b/>
                <w:bCs/>
                <w:color w:val="FFFFFF"/>
                <w:sz w:val="52"/>
                <w:szCs w:val="52"/>
              </w:rPr>
              <w:t xml:space="preserve">DPP差距评估服务</w:t>
            </w:r>
          </w:p>
          <w:p>
            <w:pPr>
              <w:spacing w:after="520" w:before="0"/>
              <w:jc w:val="center"/>
            </w:pPr>
            <w:r>
              <w:rPr>
                <w:rFonts w:ascii="Times New Roman" w:cs="Times New Roman" w:eastAsia="宋体" w:hAnsi="Times New Roman"/>
                <w:color w:val="D5D9EC"/>
                <w:sz w:val="26"/>
                <w:szCs w:val="26"/>
              </w:rPr>
              <w:t xml:space="preserve">帮助电池企业30天内摸清欧盟合规差距全貌</w:t>
            </w:r>
          </w:p>
          <w:p>
            <w:pPr>
              <w:spacing w:after="120" w:before="0"/>
              <w:jc w:val="center"/>
            </w:pPr>
            <w:r>
              <w:rPr>
                <w:rFonts w:ascii="Times New Roman" w:cs="Times New Roman" w:eastAsia="宋体" w:hAnsi="Times New Roman"/>
                <w:color w:val="AEB6DA"/>
                <w:sz w:val="20"/>
                <w:szCs w:val="20"/>
              </w:rPr>
              <w:t xml:space="preserve">v2.0 细节版 · 2026年9月</w:t>
            </w:r>
          </w:p>
          <w:p>
            <w:pPr>
              <w:spacing w:after="0" w:before="0"/>
              <w:jc w:val="center"/>
            </w:pPr>
            <w:r>
              <w:rPr>
                <w:rFonts w:ascii="Times New Roman" w:cs="Times New Roman" w:eastAsia="宋体" w:hAnsi="Times New Roman"/>
                <w:color w:val="AEB6DA"/>
                <w:sz w:val="20"/>
                <w:szCs w:val="20"/>
              </w:rPr>
              <w:t xml:space="preserve">守信财税 · DPP业务线</w:t>
            </w:r>
          </w:p>
        </w:tc>
      </w:tr>
      <w:tr>
        <w:tc>
          <w:tcPr>
            <w:tcW w:type="dxa" w:w="9216"/>
            <w:shd w:fill="1A237E" w:color="auto" w:val="clear"/>
            <w:tcMar>
              <w:top w:type="dxa" w:w="200"/>
              <w:left w:type="dxa" w:w="700"/>
              <w:bottom w:type="dxa" w:w="200"/>
              <w:right w:type="dxa" w:w="700"/>
            </w:tcMar>
          </w:tcPr>
          <w:p>
            <w:pPr>
              <w:pBdr>
                <w:top w:val="single" w:color="FFFFFF" w:sz="6"/>
                <w:bottom w:val="single" w:color="FFFFFF" w:sz="6"/>
                <w:left w:val="single" w:color="FFFFFF" w:sz="6"/>
                <w:right w:val="single" w:color="FFFFFF" w:sz="6"/>
              </w:pBdr>
              <w:spacing w:after="0" w:before="260"/>
              <w:jc w:val="center"/>
            </w:pPr>
            <w:r>
              <w:rPr>
                <w:rFonts w:ascii="Times New Roman" w:cs="Times New Roman" w:eastAsia="宋体" w:hAnsi="Times New Roman"/>
                <w:color w:val="FFFFFF"/>
                <w:sz w:val="20"/>
                <w:szCs w:val="20"/>
              </w:rPr>
              <w:t xml:space="preserve">🔋 专注欧盟电池法规 (EU) 2023/1542 合规服务</w:t>
            </w:r>
          </w:p>
        </w:tc>
      </w:tr>
      <w:tr>
        <w:tc>
          <w:tcPr>
            <w:tcW w:type="dxa" w:w="2304"/>
            <w:shd w:fill="1A237E" w:color="auto" w:val="clear"/>
            <w:tcMar>
              <w:top w:type="dxa" w:w="260"/>
              <w:left w:type="dxa" w:w="160"/>
              <w:bottom w:type="dxa" w:w="500"/>
              <w:right w:type="dxa" w:w="160"/>
            </w:tcMar>
            <w:vAlign w:val="top"/>
          </w:tcPr>
          <w:p>
            <w:pPr>
              <w:spacing w:after="80" w:before="0"/>
              <w:jc w:val="center"/>
            </w:pPr>
            <w:r>
              <w:rPr>
                <w:rFonts w:ascii="Times New Roman" w:cs="Times New Roman" w:eastAsia="宋体" w:hAnsi="Times New Roman"/>
                <w:b/>
                <w:bCs/>
                <w:color w:val="FFFFFF"/>
                <w:sz w:val="36"/>
                <w:szCs w:val="36"/>
              </w:rPr>
              <w:t xml:space="preserve">71</w:t>
            </w:r>
          </w:p>
          <w:p>
            <w:pPr>
              <w:spacing w:after="0" w:before="0" w:line="260"/>
              <w:jc w:val="center"/>
            </w:pPr>
            <w:r>
              <w:rPr>
                <w:rFonts w:ascii="Times New Roman" w:cs="Times New Roman" w:eastAsia="宋体" w:hAnsi="Times New Roman"/>
                <w:color w:val="B8C0E2"/>
                <w:sz w:val="17"/>
                <w:szCs w:val="17"/>
              </w:rPr>
              <w:t xml:space="preserve">法规数据点逐项映射</w:t>
            </w:r>
          </w:p>
        </w:tc>
        <w:tc>
          <w:tcPr>
            <w:tcW w:type="dxa" w:w="2304"/>
            <w:shd w:fill="1A237E" w:color="auto" w:val="clear"/>
            <w:tcMar>
              <w:top w:type="dxa" w:w="260"/>
              <w:left w:type="dxa" w:w="160"/>
              <w:bottom w:type="dxa" w:w="500"/>
              <w:right w:type="dxa" w:w="160"/>
            </w:tcMar>
            <w:vAlign w:val="top"/>
          </w:tcPr>
          <w:p>
            <w:pPr>
              <w:spacing w:after="80" w:before="0"/>
              <w:jc w:val="center"/>
            </w:pPr>
            <w:r>
              <w:rPr>
                <w:rFonts w:ascii="Times New Roman" w:cs="Times New Roman" w:eastAsia="宋体" w:hAnsi="Times New Roman"/>
                <w:b/>
                <w:bCs/>
                <w:color w:val="FFFFFF"/>
                <w:sz w:val="36"/>
                <w:szCs w:val="36"/>
              </w:rPr>
              <w:t xml:space="preserve">32</w:t>
            </w:r>
          </w:p>
          <w:p>
            <w:pPr>
              <w:spacing w:after="0" w:before="0" w:line="260"/>
              <w:jc w:val="center"/>
            </w:pPr>
            <w:r>
              <w:rPr>
                <w:rFonts w:ascii="Times New Roman" w:cs="Times New Roman" w:eastAsia="宋体" w:hAnsi="Times New Roman"/>
                <w:color w:val="B8C0E2"/>
                <w:sz w:val="17"/>
                <w:szCs w:val="17"/>
              </w:rPr>
              <w:t xml:space="preserve">核心核查项 · 证据链核验</w:t>
            </w:r>
          </w:p>
        </w:tc>
        <w:tc>
          <w:tcPr>
            <w:tcW w:type="dxa" w:w="2304"/>
            <w:shd w:fill="1A237E" w:color="auto" w:val="clear"/>
            <w:tcMar>
              <w:top w:type="dxa" w:w="260"/>
              <w:left w:type="dxa" w:w="160"/>
              <w:bottom w:type="dxa" w:w="500"/>
              <w:right w:type="dxa" w:w="160"/>
            </w:tcMar>
            <w:vAlign w:val="top"/>
          </w:tcPr>
          <w:p>
            <w:pPr>
              <w:spacing w:after="80" w:before="0"/>
              <w:jc w:val="center"/>
            </w:pPr>
            <w:r>
              <w:rPr>
                <w:rFonts w:ascii="Times New Roman" w:cs="Times New Roman" w:eastAsia="宋体" w:hAnsi="Times New Roman"/>
                <w:b/>
                <w:bCs/>
                <w:color w:val="FFFFFF"/>
                <w:sz w:val="36"/>
                <w:szCs w:val="36"/>
              </w:rPr>
              <w:t xml:space="preserve">6</w:t>
            </w:r>
          </w:p>
          <w:p>
            <w:pPr>
              <w:spacing w:after="0" w:before="0" w:line="260"/>
              <w:jc w:val="center"/>
            </w:pPr>
            <w:r>
              <w:rPr>
                <w:rFonts w:ascii="Times New Roman" w:cs="Times New Roman" w:eastAsia="宋体" w:hAnsi="Times New Roman"/>
                <w:color w:val="B8C0E2"/>
                <w:sz w:val="17"/>
                <w:szCs w:val="17"/>
              </w:rPr>
              <w:t xml:space="preserve">维度加权综合评级</w:t>
            </w:r>
          </w:p>
        </w:tc>
        <w:tc>
          <w:tcPr>
            <w:tcW w:type="dxa" w:w="2304"/>
            <w:shd w:fill="1A237E" w:color="auto" w:val="clear"/>
            <w:tcMar>
              <w:top w:type="dxa" w:w="260"/>
              <w:left w:type="dxa" w:w="160"/>
              <w:bottom w:type="dxa" w:w="500"/>
              <w:right w:type="dxa" w:w="160"/>
            </w:tcMar>
            <w:vAlign w:val="top"/>
          </w:tcPr>
          <w:p>
            <w:pPr>
              <w:spacing w:after="80" w:before="0"/>
              <w:jc w:val="center"/>
            </w:pPr>
            <w:r>
              <w:rPr>
                <w:rFonts w:ascii="Times New Roman" w:cs="Times New Roman" w:eastAsia="宋体" w:hAnsi="Times New Roman"/>
                <w:b/>
                <w:bCs/>
                <w:color w:val="FFFFFF"/>
                <w:sz w:val="36"/>
                <w:szCs w:val="36"/>
              </w:rPr>
              <w:t xml:space="preserve">30天</w:t>
            </w:r>
          </w:p>
          <w:p>
            <w:pPr>
              <w:spacing w:after="0" w:before="0" w:line="260"/>
              <w:jc w:val="center"/>
            </w:pPr>
            <w:r>
              <w:rPr>
                <w:rFonts w:ascii="Times New Roman" w:cs="Times New Roman" w:eastAsia="宋体" w:hAnsi="Times New Roman"/>
                <w:color w:val="B8C0E2"/>
                <w:sz w:val="17"/>
                <w:szCs w:val="17"/>
              </w:rPr>
              <w:t xml:space="preserve">最快摸清差距全貌</w:t>
            </w:r>
          </w:p>
        </w:tc>
      </w:tr>
    </w:tbl>
    <w:p>
      <w:pPr>
        <w:spacing w:after="0"/>
      </w:pPr>
    </w:p>
    <w:p>
      <w:pPr>
        <w:sectPr>
          <w:headerReference w:type="default" r:id="rId7"/>
          <w:footerReference w:type="default" r:id="rId8"/>
          <w:pgSz w:w="11906" w:h="16838" w:orient="portrait"/>
          <w:pgMar w:top="1100" w:right="1345" w:bottom="1100" w:left="1345" w:header="708" w:footer="708" w:gutter="0"/>
          <w:pgNumType/>
          <w:docGrid w:linePitch="360"/>
        </w:sectPr>
      </w:pP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第一部分 您面对的问题</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欧盟电池法规正在重塑全球电池行业的市场准入门槛。对中国电池企业来说，时间窗口正在快速收窄。</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4608"/>
        <w:gridCol w:w="4608"/>
      </w:tblGrid>
      <w:tr>
        <w:trPr>
          <w:cantSplit/>
        </w:trPr>
        <w:tc>
          <w:tcPr>
            <w:tcW w:type="dxa" w:w="4608"/>
            <w:shd w:fill="F5F6FA" w:color="auto" w:val="clear"/>
            <w:tcMar>
              <w:top w:type="dxa" w:w="70"/>
              <w:left w:type="dxa" w:w="120"/>
              <w:bottom w:type="dxa" w:w="70"/>
              <w:right w:type="dxa" w:w="120"/>
            </w:tcMar>
            <w:vAlign w:val="center"/>
          </w:tcPr>
          <w:p>
            <w:pPr>
              <w:spacing w:after="60" w:before="80" w:line="300"/>
              <w:jc w:val="left"/>
            </w:pPr>
            <w:r>
              <w:rPr>
                <w:rFonts w:ascii="Times New Roman" w:cs="Times New Roman" w:eastAsia="宋体" w:hAnsi="Times New Roman"/>
                <w:b w:val="false"/>
                <w:bCs w:val="false"/>
                <w:i w:val="false"/>
                <w:iCs w:val="false"/>
                <w:color w:val="212121"/>
                <w:sz w:val="21"/>
                <w:szCs w:val="21"/>
              </w:rPr>
              <w:t xml:space="preserve">📅 2027年2月18日——硬性截止</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自该日起，EV电池、电动自行车/滑板车电池（LMT）、容量&gt;2kWh的工业电池，必须在欧盟电池护照体系中持有有效护照，方可投放市场。这不是建议，是法规强制要求，无护照产品将被拒绝入关或被市场监督机构查处。</w:t>
            </w:r>
          </w:p>
        </w:tc>
        <w:tc>
          <w:tcPr>
            <w:tcW w:type="dxa" w:w="4608"/>
            <w:shd w:fill="F5F6FA" w:color="auto" w:val="clear"/>
            <w:tcMar>
              <w:top w:type="dxa" w:w="70"/>
              <w:left w:type="dxa" w:w="120"/>
              <w:bottom w:type="dxa" w:w="70"/>
              <w:right w:type="dxa" w:w="120"/>
            </w:tcMar>
            <w:vAlign w:val="center"/>
          </w:tcPr>
          <w:p>
            <w:pPr>
              <w:spacing w:after="60" w:before="80" w:line="300"/>
              <w:jc w:val="left"/>
            </w:pPr>
            <w:r>
              <w:rPr>
                <w:rFonts w:ascii="Times New Roman" w:cs="Times New Roman" w:eastAsia="宋体" w:hAnsi="Times New Roman"/>
                <w:b w:val="false"/>
                <w:bCs w:val="false"/>
                <w:i w:val="false"/>
                <w:iCs w:val="false"/>
                <w:color w:val="212121"/>
                <w:sz w:val="21"/>
                <w:szCs w:val="21"/>
              </w:rPr>
              <w:t xml:space="preserve">📊 71个数据点，横跨供应链</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每本电池护照需填报71个数据点，涵盖电池身份、碳足迹、再生材料含量、性能参数、材料组成、动态状态数据等，涉及企业内部数据、一级/二级供应商数据、第三方检测数据。</w:t>
            </w:r>
          </w:p>
        </w:tc>
      </w:tr>
    </w:tbl>
    <w:p>
      <w:pPr>
        <w:spacing w:after="80"/>
      </w:pP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4608"/>
        <w:gridCol w:w="4608"/>
      </w:tblGrid>
      <w:tr>
        <w:trPr>
          <w:cantSplit/>
        </w:trPr>
        <w:tc>
          <w:tcPr>
            <w:tcW w:type="dxa" w:w="4608"/>
            <w:shd w:fill="F5F6FA" w:color="auto" w:val="clear"/>
            <w:tcMar>
              <w:top w:type="dxa" w:w="70"/>
              <w:left w:type="dxa" w:w="120"/>
              <w:bottom w:type="dxa" w:w="70"/>
              <w:right w:type="dxa" w:w="120"/>
            </w:tcMar>
            <w:vAlign w:val="center"/>
          </w:tcPr>
          <w:p>
            <w:pPr>
              <w:spacing w:after="60" w:before="80" w:line="300"/>
              <w:jc w:val="left"/>
            </w:pPr>
            <w:r>
              <w:rPr>
                <w:rFonts w:ascii="Times New Roman" w:cs="Times New Roman" w:eastAsia="宋体" w:hAnsi="Times New Roman"/>
                <w:b w:val="false"/>
                <w:bCs w:val="false"/>
                <w:i w:val="false"/>
                <w:iCs w:val="false"/>
                <w:color w:val="212121"/>
                <w:sz w:val="21"/>
                <w:szCs w:val="21"/>
              </w:rPr>
              <w:t xml:space="preserve">⚠️ 多数企业尚未启动</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据行业调研，绝大多数中国电池企业尚未系统性梳理过自身数据与法规要求之间的差距。不知道缺什么、缺多少、补起来要多久——这种“未知”本身就是最大的风险。</w:t>
            </w:r>
          </w:p>
        </w:tc>
        <w:tc>
          <w:tcPr>
            <w:tcW w:type="dxa" w:w="4608"/>
            <w:shd w:fill="F5F6FA" w:color="auto" w:val="clear"/>
            <w:tcMar>
              <w:top w:type="dxa" w:w="70"/>
              <w:left w:type="dxa" w:w="120"/>
              <w:bottom w:type="dxa" w:w="70"/>
              <w:right w:type="dxa" w:w="120"/>
            </w:tcMar>
            <w:vAlign w:val="center"/>
          </w:tcPr>
          <w:p>
            <w:pPr>
              <w:spacing w:after="60" w:before="80" w:line="300"/>
              <w:jc w:val="left"/>
            </w:pPr>
            <w:r>
              <w:rPr>
                <w:rFonts w:ascii="Times New Roman" w:cs="Times New Roman" w:eastAsia="宋体" w:hAnsi="Times New Roman"/>
                <w:b w:val="false"/>
                <w:bCs w:val="false"/>
                <w:i w:val="false"/>
                <w:iCs w:val="false"/>
                <w:color w:val="212121"/>
                <w:sz w:val="21"/>
                <w:szCs w:val="21"/>
              </w:rPr>
              <w:t xml:space="preserve">⏰ 准备时间比想象中更短</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距离强制生效仅剩约5个月。数据采集、供应商协调、IT系统对接、整改补齐，每一项都需要时间，且供应商数据链路往往是最长周期项。越晚启动，成本越高、可选择的路径越少。</w:t>
            </w:r>
          </w:p>
        </w:tc>
      </w:tr>
    </w:tbl>
    <w:p>
      <w:pPr>
        <w:spacing w:after="80"/>
      </w:pPr>
    </w:p>
    <w:p>
      <w:pPr>
        <w:pStyle w:val="Heading2"/>
        <w:keepNext/>
        <w:spacing w:after="140" w:before="300"/>
      </w:pPr>
      <w:r>
        <w:rPr>
          <w:rFonts w:ascii="Times New Roman" w:cs="Times New Roman" w:eastAsia="黑体" w:hAnsi="Times New Roman"/>
          <w:b/>
          <w:bCs/>
          <w:color w:val="283593"/>
          <w:sz w:val="26"/>
          <w:szCs w:val="26"/>
        </w:rPr>
        <w:t xml:space="preserve">71个数据点分类详解：您到底要准备什么</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依据欧盟委员会《Digital Battery Passport – data points by category》指南（v2.0），电池护照数据按9大类组织。下表逐项说明每类包含什么、数据要从哪里来——这是判断您内部工作量和供应链工作量的基础。</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500"/>
        <w:gridCol w:w="1500"/>
        <w:gridCol w:w="700"/>
        <w:gridCol w:w="4216"/>
        <w:gridCol w:w="2300"/>
      </w:tblGrid>
      <w:tr>
        <w:trPr>
          <w:cantSplit/>
          <w:tblHeader/>
        </w:trPr>
        <w:tc>
          <w:tcPr>
            <w:tcW w:type="dxa" w:w="5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w:t>
            </w:r>
          </w:p>
        </w:tc>
        <w:tc>
          <w:tcPr>
            <w:tcW w:type="dxa" w:w="15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数据类别</w:t>
            </w:r>
          </w:p>
        </w:tc>
        <w:tc>
          <w:tcPr>
            <w:tcW w:type="dxa" w:w="7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项数</w:t>
            </w:r>
          </w:p>
        </w:tc>
        <w:tc>
          <w:tcPr>
            <w:tcW w:type="dxa" w:w="42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具体内容</w:t>
            </w:r>
          </w:p>
        </w:tc>
        <w:tc>
          <w:tcPr>
            <w:tcW w:type="dxa" w:w="23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主要数据来源</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1</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电池身份信息</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约15</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唯一标识符、护照责任主体身份、制造商名称/注册商号、制造商邮政地址、网址与邮箱、电池类别、型号标识及批号/序列号、制造地点、制造日期（月/年）、重量、容量、化学组成、除汞镉铅外有害物质、可用灭火剂、浓度&gt;0.1%关键原材料</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企业内部（研发、生产、质量部门）</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2</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碳足迹</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约2</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碳足迹声明值（kgCO₂e/kWh）、碳足迹性能等级标签</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企业内部 + 第三方核验机构</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3</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负责任采购</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约1</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法规Art.52(3)所述供应链尽职调查报告中的负责任采购信息</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一级/二级供应商 + 第三方尽调机构</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4</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再生材料含量</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约6</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活性材料中从废料回收的钴占比、锂占比、镍占比、铅占比、可再生含量总占比，及额定容量字段（暂不填报）</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一级供应商（正极材料、回收料供应商）</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5</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性能与耐久性参数</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约14</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最小/标称/最大电压及温度范围、原始功率能力、功率限值、循环次数预期寿命及参考测试、容量耗尽阈值(SOCE)、非使用耐温范围、商业保修期、初始及寿命50%时往返能量效率、内部电芯/电池组内阻、循环寿命测试C-rate</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企业内部（研发/测试）+ 第三方检测</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6</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标签与合规声明</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约5</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Art.13(4)标记要求、Art.13(5)镉/铅符号（如适用）、EU符合性声明(DoC)、废电池预防与管理信息、使用说明（暂不填报）</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企业内部（质量/合规部门）</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7</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详细材料组成</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约5</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正极/负极/电解液所用材料、零部件零件号、替换备件来源联系方式、拆解信息、安全措施</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企业内部 + 一级供应商</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8</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合格评定</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约1</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证明符合法规要求的测试报告结果</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第三方检测机构 / 公告机构</w:t>
            </w:r>
          </w:p>
        </w:tc>
      </w:tr>
      <w:tr>
        <w:trPr>
          <w:cantSplit/>
        </w:trPr>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9</w:t>
            </w:r>
          </w:p>
        </w:tc>
        <w:tc>
          <w:tcPr>
            <w:tcW w:type="dxa" w:w="1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动态使用数据</w:t>
            </w:r>
          </w:p>
        </w:tc>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约21</w:t>
            </w:r>
          </w:p>
        </w:tc>
        <w:tc>
          <w:tcPr>
            <w:tcW w:type="dxa" w:w="4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额定容量与容量衰减、功率与功率衰减、内阻及内阻增加、往返能量效率及衰减、预期寿命（循环/日历）、SoH健康状态各分项（SOCE、剩余容量、剩余功率、自放电演变、欧姆电阻）、电池状态标识、充放电循环次数、负面事件、运行环境温度、荷电状态(SOC)</w:t>
            </w:r>
          </w:p>
        </w:tc>
        <w:tc>
          <w:tcPr>
            <w:tcW w:type="dxa" w:w="23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企业内部（BMS + IT系统，持续更新）</w:t>
            </w:r>
          </w:p>
        </w:tc>
      </w:tr>
    </w:tbl>
    <w:p>
      <w:pPr>
        <w:spacing w:after="80"/>
      </w:pPr>
    </w:p>
    <w:p>
      <w:pPr>
        <w:spacing w:after="200" w:before="0" w:line="300"/>
        <w:jc w:val="left"/>
      </w:pPr>
      <w:r>
        <w:rPr>
          <w:rFonts w:ascii="Times New Roman" w:cs="Times New Roman" w:eastAsia="宋体" w:hAnsi="Times New Roman"/>
          <w:b w:val="false"/>
          <w:bCs w:val="false"/>
          <w:i w:val="false"/>
          <w:iCs w:val="false"/>
          <w:color w:val="212121"/>
          <w:sz w:val="21"/>
          <w:szCs w:val="21"/>
        </w:rPr>
        <w:t xml:space="preserve">注：数据点编号沿用欧委会官方指南编号1–71（部分编号为合并/保留项），各数据点对EV、LMT、工业电池的适用性不同，正式评估时以《法规适配矩阵》逐项判定。</w:t>
      </w:r>
    </w:p>
    <w:p>
      <w:pPr>
        <w:pStyle w:val="Heading2"/>
        <w:keepNext/>
        <w:spacing w:after="140" w:before="300"/>
      </w:pPr>
      <w:r>
        <w:rPr>
          <w:rFonts w:ascii="Times New Roman" w:cs="Times New Roman" w:eastAsia="黑体" w:hAnsi="Times New Roman"/>
          <w:b/>
          <w:bCs/>
          <w:color w:val="283593"/>
          <w:sz w:val="26"/>
          <w:szCs w:val="26"/>
        </w:rPr>
        <w:t xml:space="preserve">为什么企业自己很难做这件事</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4608"/>
        <w:gridCol w:w="4608"/>
      </w:tblGrid>
      <w:tr>
        <w:trPr>
          <w:cantSplit/>
        </w:trPr>
        <w:tc>
          <w:tcPr>
            <w:tcW w:type="dxa" w:w="4608"/>
            <w:shd w:fill="F5F6FA" w:color="auto" w:val="clear"/>
            <w:tcMar>
              <w:top w:type="dxa" w:w="70"/>
              <w:left w:type="dxa" w:w="120"/>
              <w:bottom w:type="dxa" w:w="70"/>
              <w:right w:type="dxa" w:w="120"/>
            </w:tcMar>
            <w:vAlign w:val="center"/>
          </w:tcPr>
          <w:p>
            <w:pPr>
              <w:spacing w:after="60" w:before="80" w:line="300"/>
              <w:jc w:val="left"/>
            </w:pPr>
            <w:r>
              <w:rPr>
                <w:rFonts w:ascii="Times New Roman" w:cs="Times New Roman" w:eastAsia="宋体" w:hAnsi="Times New Roman"/>
                <w:b w:val="false"/>
                <w:bCs w:val="false"/>
                <w:i w:val="false"/>
                <w:iCs w:val="false"/>
                <w:color w:val="212121"/>
                <w:sz w:val="21"/>
                <w:szCs w:val="21"/>
              </w:rPr>
              <w:t xml:space="preserve">🗂️ 数据分散在多个部门</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身份信息在行政/关务，技术参数在研发，检测报告在质量，BMS数据在IT，采购数据在供应链——没有一个部门掌握全貌，跨部门汇总往往推不动。</w:t>
            </w:r>
          </w:p>
        </w:tc>
        <w:tc>
          <w:tcPr>
            <w:tcW w:type="dxa" w:w="4608"/>
            <w:shd w:fill="F5F6FA" w:color="auto" w:val="clear"/>
            <w:tcMar>
              <w:top w:type="dxa" w:w="70"/>
              <w:left w:type="dxa" w:w="120"/>
              <w:bottom w:type="dxa" w:w="70"/>
              <w:right w:type="dxa" w:w="120"/>
            </w:tcMar>
            <w:vAlign w:val="center"/>
          </w:tcPr>
          <w:p>
            <w:pPr>
              <w:spacing w:after="60" w:before="80" w:line="300"/>
              <w:jc w:val="left"/>
            </w:pPr>
            <w:r>
              <w:rPr>
                <w:rFonts w:ascii="Times New Roman" w:cs="Times New Roman" w:eastAsia="宋体" w:hAnsi="Times New Roman"/>
                <w:b w:val="false"/>
                <w:bCs w:val="false"/>
                <w:i w:val="false"/>
                <w:iCs w:val="false"/>
                <w:color w:val="212121"/>
                <w:sz w:val="21"/>
                <w:szCs w:val="21"/>
              </w:rPr>
              <w:t xml:space="preserve">🤝 供应商不配合</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再生含量、材料溯源等关键数据握在上游手中。供应商或以商业机密为由拒绝，或自己也没有数据。企业自己发函，回复率和数据质量都没有保障。</w:t>
            </w:r>
          </w:p>
        </w:tc>
      </w:tr>
    </w:tbl>
    <w:p>
      <w:pPr>
        <w:spacing w:after="80"/>
      </w:pP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4608"/>
        <w:gridCol w:w="4608"/>
      </w:tblGrid>
      <w:tr>
        <w:trPr>
          <w:cantSplit/>
        </w:trPr>
        <w:tc>
          <w:tcPr>
            <w:tcW w:type="dxa" w:w="4608"/>
            <w:shd w:fill="F5F6FA" w:color="auto" w:val="clear"/>
            <w:tcMar>
              <w:top w:type="dxa" w:w="70"/>
              <w:left w:type="dxa" w:w="120"/>
              <w:bottom w:type="dxa" w:w="70"/>
              <w:right w:type="dxa" w:w="120"/>
            </w:tcMar>
            <w:vAlign w:val="center"/>
          </w:tcPr>
          <w:p>
            <w:pPr>
              <w:spacing w:after="60" w:before="80" w:line="300"/>
              <w:jc w:val="left"/>
            </w:pPr>
            <w:r>
              <w:rPr>
                <w:rFonts w:ascii="Times New Roman" w:cs="Times New Roman" w:eastAsia="宋体" w:hAnsi="Times New Roman"/>
                <w:b w:val="false"/>
                <w:bCs w:val="false"/>
                <w:i w:val="false"/>
                <w:iCs w:val="false"/>
                <w:color w:val="212121"/>
                <w:sz w:val="21"/>
                <w:szCs w:val="21"/>
              </w:rPr>
              <w:t xml:space="preserve">📜 缺乏法规专业判断</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“有文件”不等于“文件符合法规口径”：测试方法是否为法规指定方法、数据粒度是否到单块电池、证书是否覆盖全部SKU——这些判断需要持续跟踪法规与授权法案的专业能力。</w:t>
            </w:r>
          </w:p>
        </w:tc>
        <w:tc>
          <w:tcPr>
            <w:tcW w:type="dxa" w:w="4608"/>
            <w:shd w:fill="F5F6FA" w:color="auto" w:val="clear"/>
            <w:tcMar>
              <w:top w:type="dxa" w:w="70"/>
              <w:left w:type="dxa" w:w="120"/>
              <w:bottom w:type="dxa" w:w="70"/>
              <w:right w:type="dxa" w:w="120"/>
            </w:tcMar>
            <w:vAlign w:val="center"/>
          </w:tcPr>
          <w:p>
            <w:pPr>
              <w:spacing w:after="60" w:before="80" w:line="300"/>
              <w:jc w:val="left"/>
            </w:pPr>
            <w:r>
              <w:rPr>
                <w:rFonts w:ascii="Times New Roman" w:cs="Times New Roman" w:eastAsia="宋体" w:hAnsi="Times New Roman"/>
                <w:b w:val="false"/>
                <w:bCs w:val="false"/>
                <w:i w:val="false"/>
                <w:iCs w:val="false"/>
                <w:color w:val="212121"/>
                <w:sz w:val="21"/>
                <w:szCs w:val="21"/>
              </w:rPr>
              <w:t xml:space="preserve">🖥️ 需要系统化工具</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71项数据×多个SKU×多层供应商，靠Excel和邮件无法管理版本、证据和更新责任。没有核查底稿和评级模型，结论无法复核，也无法应对监管查验。</w:t>
            </w:r>
          </w:p>
        </w:tc>
      </w:tr>
    </w:tbl>
    <w:p>
      <w:pPr>
        <w:spacing w:after="80"/>
      </w:pPr>
    </w:p>
    <w:tbl>
      <w:tblPr>
        <w:tblW w:type="dxa" w:w="9216"/>
        <w:tblBorders>
          <w:top w:val="none" w:color="FFFFFF" w:sz="0"/>
          <w:left w:val="single" w:color="0D47A1" w:sz="18"/>
          <w:bottom w:val="none" w:color="FFFFFF" w:sz="0"/>
          <w:right w:val="none" w:color="FFFFFF" w:sz="0"/>
          <w:insideH w:val="none" w:color="FFFFFF" w:sz="0"/>
          <w:insideV w:val="none" w:color="FFFFFF" w:sz="0"/>
        </w:tblBorders>
      </w:tblPr>
      <w:tblGrid>
        <w:gridCol w:w="9216"/>
      </w:tblGrid>
      <w:tr>
        <w:tc>
          <w:tcPr>
            <w:tcW w:type="dxa" w:w="9216"/>
            <w:shd w:fill="E3F2FD"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0D47A1"/>
                <w:sz w:val="22"/>
                <w:szCs w:val="22"/>
              </w:rPr>
              <w:t xml:space="preserve">⚡ 核心矛盾</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法规要求明确且不可延期，但大多数企业不清楚自己与要求之间到底差多远。在不知道差距大小的情况下，无法排预算、排人员、排时间表。</w:t>
            </w:r>
            <w:r>
              <w:rPr>
                <w:rFonts w:ascii="Times New Roman" w:cs="Times New Roman" w:eastAsia="宋体" w:hAnsi="Times New Roman"/>
                <w:b/>
                <w:bCs/>
                <w:i w:val="false"/>
                <w:iCs w:val="false"/>
                <w:color w:val="212121"/>
                <w:sz w:val="21"/>
                <w:szCs w:val="21"/>
              </w:rPr>
              <w:t xml:space="preserve">差距评估，就是解决这个“不知道”的问题。</w:t>
            </w:r>
          </w:p>
        </w:tc>
      </w:tr>
    </w:tbl>
    <w:p>
      <w:pPr>
        <w:spacing w:after="120" w:before="0"/>
      </w:pP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第二部分 我们能帮您做什么</w:t>
      </w:r>
    </w:p>
    <w:tbl>
      <w:tblPr>
        <w:tblW w:type="dxa" w:w="9216"/>
        <w:tblBorders>
          <w:top w:val="none" w:color="FFFFFF" w:sz="0"/>
          <w:left w:val="single" w:color="2E7D32" w:sz="24"/>
          <w:bottom w:val="none" w:color="FFFFFF" w:sz="0"/>
          <w:right w:val="none" w:color="FFFFFF" w:sz="0"/>
          <w:insideH w:val="none" w:color="FFFFFF" w:sz="0"/>
          <w:insideV w:val="none" w:color="FFFFFF" w:sz="0"/>
        </w:tblBorders>
      </w:tblPr>
      <w:tblGrid>
        <w:gridCol w:w="9216"/>
      </w:tblGrid>
      <w:tr>
        <w:tc>
          <w:tcPr>
            <w:tcW w:type="dxa" w:w="9216"/>
            <w:shd w:fill="F5F6FA" w:color="auto" w:val="clear"/>
            <w:tcMar>
              <w:top w:type="dxa" w:w="220"/>
              <w:left w:type="dxa" w:w="280"/>
              <w:bottom w:type="dxa" w:w="220"/>
              <w:right w:type="dxa" w:w="280"/>
            </w:tcMar>
          </w:tcPr>
          <w:p>
            <w:pPr>
              <w:spacing w:after="0" w:before="0" w:line="360"/>
            </w:pPr>
            <w:r>
              <w:rPr>
                <w:rFonts w:ascii="Times New Roman" w:cs="Times New Roman" w:eastAsia="宋体" w:hAnsi="Times New Roman"/>
                <w:b/>
                <w:bCs/>
                <w:color w:val="1A237E"/>
                <w:sz w:val="24"/>
                <w:szCs w:val="24"/>
              </w:rPr>
              <w:t xml:space="preserve">拿欧盟电池法规的71个数据点，逐项对照您的现状，出一份正式报告，告诉您哪里合格、哪里有缺口、缺口有多严重、根因是什么、怎么补、先补什么。</w:t>
            </w:r>
          </w:p>
        </w:tc>
      </w:tr>
    </w:tbl>
    <w:p>
      <w:pPr>
        <w:spacing w:after="100"/>
      </w:pPr>
    </w:p>
    <w:p>
      <w:pPr>
        <w:spacing w:after="110" w:before="200" w:line="300"/>
        <w:jc w:val="left"/>
      </w:pPr>
      <w:r>
        <w:rPr>
          <w:rFonts w:ascii="Times New Roman" w:cs="Times New Roman" w:eastAsia="宋体" w:hAnsi="Times New Roman"/>
          <w:b w:val="false"/>
          <w:bCs w:val="false"/>
          <w:i w:val="false"/>
          <w:iCs w:val="false"/>
          <w:color w:val="212121"/>
          <w:sz w:val="21"/>
          <w:szCs w:val="21"/>
        </w:rPr>
        <w:t xml:space="preserve">一句话总结：</w:t>
      </w:r>
      <w:r>
        <w:rPr>
          <w:rFonts w:ascii="Times New Roman" w:cs="Times New Roman" w:eastAsia="宋体" w:hAnsi="Times New Roman"/>
          <w:b/>
          <w:bCs/>
          <w:i w:val="false"/>
          <w:iCs w:val="false"/>
          <w:color w:val="212121"/>
          <w:sz w:val="21"/>
          <w:szCs w:val="21"/>
        </w:rPr>
        <w:t xml:space="preserve">最短时间搞清「我在哪、差什么、怎么补」。</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072"/>
        <w:gridCol w:w="3072"/>
        <w:gridCol w:w="3072"/>
      </w:tblGrid>
      <w:tr>
        <w:trPr>
          <w:cantSplit/>
        </w:trPr>
        <w:tc>
          <w:tcPr>
            <w:tcW w:type="dxa" w:w="3072"/>
            <w:shd w:fill="F5F6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VALUE 01</w:t>
            </w:r>
          </w:p>
          <w:p>
            <w:pPr>
              <w:spacing w:after="40" w:before="0" w:line="300"/>
              <w:jc w:val="left"/>
            </w:pPr>
            <w:r>
              <w:rPr>
                <w:rFonts w:ascii="Times New Roman" w:cs="Times New Roman" w:eastAsia="宋体" w:hAnsi="Times New Roman"/>
                <w:b/>
                <w:bCs/>
                <w:i w:val="false"/>
                <w:iCs w:val="false"/>
                <w:color w:val="212121"/>
                <w:sz w:val="21"/>
                <w:szCs w:val="21"/>
              </w:rPr>
              <w:t xml:space="preserve">精准诊断，不是泛泛建议</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基于您的实际产品线（电池类型、SKU、供应链结构）逐项核查，不是通用合规模板。每一项判断都有法规依据和书面证据支撑，结论可追溯、可复核。</w:t>
            </w:r>
          </w:p>
        </w:tc>
        <w:tc>
          <w:tcPr>
            <w:tcW w:type="dxa" w:w="3072"/>
            <w:shd w:fill="F5F6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VALUE 02</w:t>
            </w:r>
          </w:p>
          <w:p>
            <w:pPr>
              <w:spacing w:after="40" w:before="0" w:line="300"/>
              <w:jc w:val="left"/>
            </w:pPr>
            <w:r>
              <w:rPr>
                <w:rFonts w:ascii="Times New Roman" w:cs="Times New Roman" w:eastAsia="宋体" w:hAnsi="Times New Roman"/>
                <w:b/>
                <w:bCs/>
                <w:i w:val="false"/>
                <w:iCs w:val="false"/>
                <w:color w:val="212121"/>
                <w:sz w:val="21"/>
                <w:szCs w:val="21"/>
              </w:rPr>
              <w:t xml:space="preserve">直接可用的行动计划</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评估报告不是放在书架上的文件。六维评级、差距分级、根因分析、优先级排序、整改路线图——拿到就能执行，直接作为后续数据建设的需求基线。</w:t>
            </w:r>
          </w:p>
        </w:tc>
        <w:tc>
          <w:tcPr>
            <w:tcW w:type="dxa" w:w="3072"/>
            <w:shd w:fill="F5F6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VALUE 03</w:t>
            </w:r>
          </w:p>
          <w:p>
            <w:pPr>
              <w:spacing w:after="40" w:before="0" w:line="300"/>
              <w:jc w:val="left"/>
            </w:pPr>
            <w:r>
              <w:rPr>
                <w:rFonts w:ascii="Times New Roman" w:cs="Times New Roman" w:eastAsia="宋体" w:hAnsi="Times New Roman"/>
                <w:b/>
                <w:bCs/>
                <w:i w:val="false"/>
                <w:iCs w:val="false"/>
                <w:color w:val="212121"/>
                <w:sz w:val="21"/>
                <w:szCs w:val="21"/>
              </w:rPr>
              <w:t xml:space="preserve">全链条服务的起点</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评估只是第一步。数据建设②→供应商辅导③→注册上线④→年度托管，评估成果在服务期内持续更新，不重复收取评估费。</w:t>
            </w:r>
          </w:p>
        </w:tc>
      </w:tr>
    </w:tbl>
    <w:p>
      <w:pPr>
        <w:spacing w:after="80"/>
      </w:pPr>
    </w:p>
    <w:p>
      <w:pPr>
        <w:pStyle w:val="Heading2"/>
        <w:keepNext/>
        <w:spacing w:after="140" w:before="300"/>
      </w:pPr>
      <w:r>
        <w:rPr>
          <w:rFonts w:ascii="Times New Roman" w:cs="Times New Roman" w:eastAsia="黑体" w:hAnsi="Times New Roman"/>
          <w:b/>
          <w:bCs/>
          <w:color w:val="283593"/>
          <w:sz w:val="26"/>
          <w:szCs w:val="26"/>
        </w:rPr>
        <w:t xml:space="preserve">我们的方法论：三维度核查体系</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差距评估不是“看一下文件给点意见”。我们对每个数据点同时从三个维度交叉核查，确保结论经得起监管和复核。</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072"/>
        <w:gridCol w:w="3072"/>
        <w:gridCol w:w="3072"/>
      </w:tblGrid>
      <w:tr>
        <w:trPr>
          <w:cantSplit/>
        </w:trPr>
        <w:tc>
          <w:tcPr>
            <w:tcW w:type="dxa" w:w="3072"/>
            <w:shd w:fill="FFFFFF"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维度 1</w:t>
            </w:r>
          </w:p>
          <w:p>
            <w:pPr>
              <w:spacing w:after="40" w:before="0" w:line="300"/>
              <w:jc w:val="left"/>
            </w:pPr>
            <w:r>
              <w:rPr>
                <w:rFonts w:ascii="Times New Roman" w:cs="Times New Roman" w:eastAsia="宋体" w:hAnsi="Times New Roman"/>
                <w:b/>
                <w:bCs/>
                <w:i w:val="false"/>
                <w:iCs w:val="false"/>
                <w:color w:val="212121"/>
                <w:sz w:val="21"/>
                <w:szCs w:val="21"/>
              </w:rPr>
              <w:t xml:space="preserve">法规条款映射</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建立“71数据点 × 适用电池类型（EV/LMT/工业）”映射矩阵：每项标注强制适用、条件适用、不适用或暂不填报，并附法规条款依据（Art.77、Annex XIII等），先解决“哪些要求与我有关”。</w:t>
            </w:r>
          </w:p>
        </w:tc>
        <w:tc>
          <w:tcPr>
            <w:tcW w:type="dxa" w:w="3072"/>
            <w:shd w:fill="FFFFFF"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维度 2</w:t>
            </w:r>
          </w:p>
          <w:p>
            <w:pPr>
              <w:spacing w:after="40" w:before="0" w:line="300"/>
              <w:jc w:val="left"/>
            </w:pPr>
            <w:r>
              <w:rPr>
                <w:rFonts w:ascii="Times New Roman" w:cs="Times New Roman" w:eastAsia="宋体" w:hAnsi="Times New Roman"/>
                <w:b/>
                <w:bCs/>
                <w:i w:val="false"/>
                <w:iCs w:val="false"/>
                <w:color w:val="212121"/>
                <w:sz w:val="21"/>
                <w:szCs w:val="21"/>
              </w:rPr>
              <w:t xml:space="preserve">证据链核查</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每项判断必须有书面证据，不凭口头表态：证书原件/扫描件、测试报告、制度文件、系统截图、供应商问卷回执。每项证据登记索引（来源、日期、版本、覆盖范围），无证据即判未满足。</w:t>
            </w:r>
          </w:p>
        </w:tc>
        <w:tc>
          <w:tcPr>
            <w:tcW w:type="dxa" w:w="3072"/>
            <w:shd w:fill="FFFFFF"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维度 3</w:t>
            </w:r>
          </w:p>
          <w:p>
            <w:pPr>
              <w:spacing w:after="40" w:before="0" w:line="300"/>
              <w:jc w:val="left"/>
            </w:pPr>
            <w:r>
              <w:rPr>
                <w:rFonts w:ascii="Times New Roman" w:cs="Times New Roman" w:eastAsia="宋体" w:hAnsi="Times New Roman"/>
                <w:b/>
                <w:bCs/>
                <w:i w:val="false"/>
                <w:iCs w:val="false"/>
                <w:color w:val="212121"/>
                <w:sz w:val="21"/>
                <w:szCs w:val="21"/>
              </w:rPr>
              <w:t xml:space="preserve">差距根因分析</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每个差距项追溯根因并归类：数据缺失（有未收集/根本未产生）、流程缺失（无管理流程/责任不清）、技术缺失（检测或IT能力不支持）、供应商缺失（上游不提供/需更换供应商），根因决定整改动作和预算归属。</w:t>
            </w:r>
          </w:p>
        </w:tc>
      </w:tr>
    </w:tbl>
    <w:p>
      <w:pPr>
        <w:spacing w:after="80"/>
      </w:pPr>
    </w:p>
    <w:p>
      <w:pPr>
        <w:pStyle w:val="Heading2"/>
        <w:keepNext/>
        <w:spacing w:after="140" w:before="300"/>
      </w:pPr>
      <w:r>
        <w:rPr>
          <w:rFonts w:ascii="Times New Roman" w:cs="Times New Roman" w:eastAsia="黑体" w:hAnsi="Times New Roman"/>
          <w:b/>
          <w:bCs/>
          <w:color w:val="283593"/>
          <w:sz w:val="26"/>
          <w:szCs w:val="26"/>
        </w:rPr>
        <w:t xml:space="preserve">评估的四个层次：每项数据都要过四道关</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304"/>
        <w:gridCol w:w="2304"/>
        <w:gridCol w:w="2304"/>
        <w:gridCol w:w="2304"/>
      </w:tblGrid>
      <w:tr>
        <w:trPr>
          <w:cantSplit/>
        </w:trPr>
        <w:tc>
          <w:tcPr>
            <w:tcW w:type="dxa" w:w="2304"/>
            <w:shd w:fill="FFFFFF"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L1</w:t>
            </w:r>
          </w:p>
          <w:p>
            <w:pPr>
              <w:spacing w:after="40" w:before="0" w:line="300"/>
              <w:jc w:val="left"/>
            </w:pPr>
            <w:r>
              <w:rPr>
                <w:rFonts w:ascii="Times New Roman" w:cs="Times New Roman" w:eastAsia="宋体" w:hAnsi="Times New Roman"/>
                <w:b/>
                <w:bCs/>
                <w:i w:val="false"/>
                <w:iCs w:val="false"/>
                <w:color w:val="212121"/>
                <w:sz w:val="21"/>
                <w:szCs w:val="21"/>
              </w:rPr>
              <w:t xml:space="preserve">有没有</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数据/文件是否存在。例如：是否有CE证书、是否有碳足迹研究报告、BMS是否能输出SoH数据。L1不通过，直接判红灯。</w:t>
            </w:r>
          </w:p>
        </w:tc>
        <w:tc>
          <w:tcPr>
            <w:tcW w:type="dxa" w:w="2304"/>
            <w:shd w:fill="FFFFFF"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L2</w:t>
            </w:r>
          </w:p>
          <w:p>
            <w:pPr>
              <w:spacing w:after="40" w:before="0" w:line="300"/>
              <w:jc w:val="left"/>
            </w:pPr>
            <w:r>
              <w:rPr>
                <w:rFonts w:ascii="Times New Roman" w:cs="Times New Roman" w:eastAsia="宋体" w:hAnsi="Times New Roman"/>
                <w:b/>
                <w:bCs/>
                <w:i w:val="false"/>
                <w:iCs w:val="false"/>
                <w:color w:val="212121"/>
                <w:sz w:val="21"/>
                <w:szCs w:val="21"/>
              </w:rPr>
              <w:t xml:space="preserve">对不对</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内容是否符合法规口径：测试方法是否为法规认可方法、计量单位是否正确、申报主体是否适格、声明内容是否与法规条款一致。</w:t>
            </w:r>
          </w:p>
        </w:tc>
        <w:tc>
          <w:tcPr>
            <w:tcW w:type="dxa" w:w="2304"/>
            <w:shd w:fill="FFFFFF"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L3</w:t>
            </w:r>
          </w:p>
          <w:p>
            <w:pPr>
              <w:spacing w:after="40" w:before="0" w:line="300"/>
              <w:jc w:val="left"/>
            </w:pPr>
            <w:r>
              <w:rPr>
                <w:rFonts w:ascii="Times New Roman" w:cs="Times New Roman" w:eastAsia="宋体" w:hAnsi="Times New Roman"/>
                <w:b/>
                <w:bCs/>
                <w:i w:val="false"/>
                <w:iCs w:val="false"/>
                <w:color w:val="212121"/>
                <w:sz w:val="21"/>
                <w:szCs w:val="21"/>
              </w:rPr>
              <w:t xml:space="preserve">全不全</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是否覆盖全部适用SKU（而非只有主力型号）、全部生产工厂、全部相关供应商；证书范围与实际出口产品是否一一对应。</w:t>
            </w:r>
          </w:p>
        </w:tc>
        <w:tc>
          <w:tcPr>
            <w:tcW w:type="dxa" w:w="2304"/>
            <w:shd w:fill="FFFFFF"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L4</w:t>
            </w:r>
          </w:p>
          <w:p>
            <w:pPr>
              <w:spacing w:after="40" w:before="0" w:line="300"/>
              <w:jc w:val="left"/>
            </w:pPr>
            <w:r>
              <w:rPr>
                <w:rFonts w:ascii="Times New Roman" w:cs="Times New Roman" w:eastAsia="宋体" w:hAnsi="Times New Roman"/>
                <w:b/>
                <w:bCs/>
                <w:i w:val="false"/>
                <w:iCs w:val="false"/>
                <w:color w:val="212121"/>
                <w:sz w:val="21"/>
                <w:szCs w:val="21"/>
              </w:rPr>
              <w:t xml:space="preserve">新不新</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数据是否为最新版本：证书是否在有效期内、检测报告是否对应现行配方与工艺、动态数据是否按制度持续更新、法规版本变化后文件是否同步修订。</w:t>
            </w:r>
          </w:p>
        </w:tc>
      </w:tr>
    </w:tbl>
    <w:p>
      <w:pPr>
        <w:spacing w:after="80"/>
      </w:pPr>
    </w:p>
    <w:tbl>
      <w:tblPr>
        <w:tblW w:type="dxa" w:w="9216"/>
        <w:tblBorders>
          <w:top w:val="none" w:color="FFFFFF" w:sz="0"/>
          <w:left w:val="single" w:color="0D47A1" w:sz="18"/>
          <w:bottom w:val="none" w:color="FFFFFF" w:sz="0"/>
          <w:right w:val="none" w:color="FFFFFF" w:sz="0"/>
          <w:insideH w:val="none" w:color="FFFFFF" w:sz="0"/>
          <w:insideV w:val="none" w:color="FFFFFF" w:sz="0"/>
        </w:tblBorders>
      </w:tblPr>
      <w:tblGrid>
        <w:gridCol w:w="9216"/>
      </w:tblGrid>
      <w:tr>
        <w:tc>
          <w:tcPr>
            <w:tcW w:type="dxa" w:w="9216"/>
            <w:shd w:fill="E3F2FD"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0D47A1"/>
                <w:sz w:val="22"/>
                <w:szCs w:val="22"/>
              </w:rPr>
              <w:t xml:space="preserve">📌 判定规则</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四个层次依次递进：L1不通过无需再评后续层次；L1通过但L2不通过，按“部分满足”处理；只有L1–L4全部通过，才判“已满足”。这套规则保证不同评估师对同一企业得出一致结论。</w:t>
            </w:r>
          </w:p>
        </w:tc>
      </w:tr>
    </w:tbl>
    <w:p>
      <w:pPr>
        <w:spacing w:after="120" w:before="0"/>
      </w:pP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第三部分 我们具体怎么工作</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7个标准步骤，标准节奏30天内完成；各档位交付周期为：基础版5-8个工作日、标准版8-15个工作日、旗舰版15-20个工作日（现场工作坊另计）。全程NDA保密，资料经加密安全通道传递。</w:t>
      </w:r>
    </w:p>
    <w:p>
      <w:pPr>
        <w:pStyle w:val="Heading2"/>
        <w:keepNext/>
        <w:spacing w:after="140" w:before="300"/>
      </w:pPr>
      <w:r>
        <w:rPr>
          <w:rFonts w:ascii="Times New Roman" w:cs="Times New Roman" w:eastAsia="黑体" w:hAnsi="Times New Roman"/>
          <w:b/>
          <w:bCs/>
          <w:color w:val="283593"/>
          <w:sz w:val="26"/>
          <w:szCs w:val="26"/>
        </w:rPr>
        <w:t xml:space="preserve">S1 项目启动　|　第1天</w:t>
      </w:r>
    </w:p>
    <w:p>
      <w:pPr>
        <w:spacing w:after="110" w:before="0" w:line="300"/>
        <w:jc w:val="left"/>
      </w:pPr>
      <w:r>
        <w:rPr>
          <w:rFonts w:ascii="Times New Roman" w:cs="Times New Roman" w:eastAsia="宋体" w:hAnsi="Times New Roman"/>
          <w:b/>
          <w:bCs/>
          <w:i w:val="false"/>
          <w:iCs w:val="false"/>
          <w:color w:val="2E7D32"/>
          <w:sz w:val="21"/>
          <w:szCs w:val="21"/>
        </w:rPr>
        <w:t xml:space="preserve">我们做什么</w:t>
      </w:r>
    </w:p>
    <w:p>
      <w:pPr>
        <w:pStyle w:val="ListParagraph"/>
        <w:numPr>
          <w:ilvl w:val="0"/>
          <w:numId w:val="2"/>
        </w:numPr>
        <w:spacing w:after="70" w:before="0" w:line="300"/>
      </w:pPr>
      <w:r>
        <w:rPr>
          <w:rFonts w:ascii="Times New Roman" w:cs="Times New Roman" w:eastAsia="宋体" w:hAnsi="Times New Roman"/>
          <w:b/>
          <w:bCs/>
          <w:i w:val="false"/>
          <w:iCs w:val="false"/>
          <w:color w:val="212121"/>
          <w:sz w:val="21"/>
          <w:szCs w:val="21"/>
        </w:rPr>
        <w:t xml:space="preserve">合同签署流程：</w:t>
      </w:r>
      <w:r>
        <w:rPr>
          <w:rFonts w:ascii="Times New Roman" w:cs="Times New Roman" w:eastAsia="宋体" w:hAnsi="Times New Roman"/>
          <w:b w:val="false"/>
          <w:bCs w:val="false"/>
          <w:i w:val="false"/>
          <w:iCs w:val="false"/>
          <w:color w:val="212121"/>
          <w:sz w:val="21"/>
          <w:szCs w:val="21"/>
        </w:rPr>
        <w:t xml:space="preserve">确认报价单与服务范围 → 双方用印或电子签约 → 合同生效（通常1个工作日内完成）</w:t>
      </w:r>
    </w:p>
    <w:p>
      <w:pPr>
        <w:pStyle w:val="ListParagraph"/>
        <w:numPr>
          <w:ilvl w:val="0"/>
          <w:numId w:val="2"/>
        </w:numPr>
        <w:spacing w:after="70" w:before="0" w:line="300"/>
      </w:pPr>
      <w:r>
        <w:rPr>
          <w:rFonts w:ascii="Times New Roman" w:cs="Times New Roman" w:eastAsia="宋体" w:hAnsi="Times New Roman"/>
          <w:b/>
          <w:bCs/>
          <w:i w:val="false"/>
          <w:iCs w:val="false"/>
          <w:color w:val="212121"/>
          <w:sz w:val="21"/>
          <w:szCs w:val="21"/>
        </w:rPr>
        <w:t xml:space="preserve">NDA条款说明：</w:t>
      </w:r>
      <w:r>
        <w:rPr>
          <w:rFonts w:ascii="Times New Roman" w:cs="Times New Roman" w:eastAsia="宋体" w:hAnsi="Times New Roman"/>
          <w:b w:val="false"/>
          <w:bCs w:val="false"/>
          <w:i w:val="false"/>
          <w:iCs w:val="false"/>
          <w:color w:val="212121"/>
          <w:sz w:val="21"/>
          <w:szCs w:val="21"/>
        </w:rPr>
        <w:t xml:space="preserve">双向保密协议，覆盖技术信息与商业信息，明确保密期限、资料使用范围与违约责任</w:t>
      </w:r>
    </w:p>
    <w:p>
      <w:pPr>
        <w:pStyle w:val="ListParagraph"/>
        <w:numPr>
          <w:ilvl w:val="0"/>
          <w:numId w:val="2"/>
        </w:numPr>
        <w:spacing w:after="70" w:before="0" w:line="300"/>
      </w:pPr>
      <w:r>
        <w:rPr>
          <w:rFonts w:ascii="Times New Roman" w:cs="Times New Roman" w:eastAsia="宋体" w:hAnsi="Times New Roman"/>
          <w:b/>
          <w:bCs/>
          <w:i w:val="false"/>
          <w:iCs w:val="false"/>
          <w:color w:val="212121"/>
          <w:sz w:val="21"/>
          <w:szCs w:val="21"/>
        </w:rPr>
        <w:t xml:space="preserve">安全通道开通：</w:t>
      </w:r>
      <w:r>
        <w:rPr>
          <w:rFonts w:ascii="Times New Roman" w:cs="Times New Roman" w:eastAsia="宋体" w:hAnsi="Times New Roman"/>
          <w:b w:val="false"/>
          <w:bCs w:val="false"/>
          <w:i w:val="false"/>
          <w:iCs w:val="false"/>
          <w:color w:val="212121"/>
          <w:sz w:val="21"/>
          <w:szCs w:val="21"/>
        </w:rPr>
        <w:t xml:space="preserve">开通加密文件传输通道（专属访问链接+权限控制），项目期内所有资料仅通过安全通道传递，不用个人微信/邮箱收发</w:t>
      </w:r>
    </w:p>
    <w:p>
      <w:pPr>
        <w:pStyle w:val="ListParagraph"/>
        <w:numPr>
          <w:ilvl w:val="0"/>
          <w:numId w:val="2"/>
        </w:numPr>
        <w:spacing w:after="70" w:before="0" w:line="300"/>
      </w:pPr>
      <w:r>
        <w:rPr>
          <w:rFonts w:ascii="Times New Roman" w:cs="Times New Roman" w:eastAsia="宋体" w:hAnsi="Times New Roman"/>
          <w:b/>
          <w:bCs/>
          <w:i w:val="false"/>
          <w:iCs w:val="false"/>
          <w:color w:val="212121"/>
          <w:sz w:val="21"/>
          <w:szCs w:val="21"/>
        </w:rPr>
        <w:t xml:space="preserve">项目组介绍：</w:t>
      </w:r>
      <w:r>
        <w:rPr>
          <w:rFonts w:ascii="Times New Roman" w:cs="Times New Roman" w:eastAsia="宋体" w:hAnsi="Times New Roman"/>
          <w:b w:val="false"/>
          <w:bCs w:val="false"/>
          <w:i w:val="false"/>
          <w:iCs w:val="false"/>
          <w:color w:val="212121"/>
          <w:sz w:val="21"/>
          <w:szCs w:val="21"/>
        </w:rPr>
        <w:t xml:space="preserve">项目经理（您的唯一接口人）、法规专家、行业顾问、终审人，明确各自职责</w:t>
      </w:r>
    </w:p>
    <w:p>
      <w:pPr>
        <w:spacing w:after="110" w:before="0" w:line="300"/>
        <w:jc w:val="left"/>
      </w:pPr>
      <w:r>
        <w:rPr>
          <w:rFonts w:ascii="Times New Roman" w:cs="Times New Roman" w:eastAsia="宋体" w:hAnsi="Times New Roman"/>
          <w:b/>
          <w:bCs/>
          <w:i w:val="false"/>
          <w:iCs w:val="false"/>
          <w:color w:val="2E7D32"/>
          <w:sz w:val="21"/>
          <w:szCs w:val="21"/>
        </w:rPr>
        <w:t xml:space="preserve">您需要配合</w:t>
      </w:r>
    </w:p>
    <w:p>
      <w:pPr>
        <w:pStyle w:val="ListParagraph"/>
        <w:numPr>
          <w:ilvl w:val="0"/>
          <w:numId w:val="3"/>
        </w:numPr>
        <w:spacing w:after="70" w:before="0" w:line="300"/>
      </w:pPr>
      <w:r>
        <w:rPr>
          <w:rFonts w:ascii="Times New Roman" w:cs="Times New Roman" w:eastAsia="宋体" w:hAnsi="Times New Roman"/>
          <w:b w:val="false"/>
          <w:bCs w:val="false"/>
          <w:i w:val="false"/>
          <w:iCs w:val="false"/>
          <w:color w:val="212121"/>
          <w:sz w:val="21"/>
          <w:szCs w:val="21"/>
        </w:rPr>
        <w:t xml:space="preserve">指定一名项目经理（建议由合规/质量/出口部门负责人担任，需有跨部门协调权限）</w:t>
      </w:r>
    </w:p>
    <w:p>
      <w:pPr>
        <w:pStyle w:val="ListParagraph"/>
        <w:numPr>
          <w:ilvl w:val="0"/>
          <w:numId w:val="3"/>
        </w:numPr>
        <w:spacing w:after="70" w:before="0" w:line="300"/>
      </w:pPr>
      <w:r>
        <w:rPr>
          <w:rFonts w:ascii="Times New Roman" w:cs="Times New Roman" w:eastAsia="宋体" w:hAnsi="Times New Roman"/>
          <w:b w:val="false"/>
          <w:bCs w:val="false"/>
          <w:i w:val="false"/>
          <w:iCs w:val="false"/>
          <w:color w:val="212121"/>
          <w:sz w:val="21"/>
          <w:szCs w:val="21"/>
        </w:rPr>
        <w:t xml:space="preserve">提供组织架构图与对接人清单，建议覆盖：研发/技术、质量、生产、采购、关务/出口、IT六个口</w:t>
      </w:r>
    </w:p>
    <w:p>
      <w:pPr>
        <w:spacing w:after="110" w:before="0" w:line="300"/>
        <w:jc w:val="left"/>
      </w:pPr>
      <w:r>
        <w:rPr>
          <w:rFonts w:ascii="Times New Roman" w:cs="Times New Roman" w:eastAsia="宋体" w:hAnsi="Times New Roman"/>
          <w:b/>
          <w:bCs/>
          <w:i w:val="false"/>
          <w:iCs w:val="false"/>
          <w:color w:val="2E7D32"/>
          <w:sz w:val="21"/>
          <w:szCs w:val="21"/>
        </w:rPr>
        <w:t xml:space="preserve">输出物：</w:t>
      </w:r>
      <w:r>
        <w:rPr>
          <w:rFonts w:ascii="Times New Roman" w:cs="Times New Roman" w:eastAsia="宋体" w:hAnsi="Times New Roman"/>
          <w:b w:val="false"/>
          <w:bCs w:val="false"/>
          <w:i w:val="false"/>
          <w:iCs w:val="false"/>
          <w:color w:val="212121"/>
          <w:sz w:val="21"/>
          <w:szCs w:val="21"/>
        </w:rPr>
        <w:t xml:space="preserve">《项目启动书》《沟通计划表》、NDA生效</w:t>
      </w:r>
    </w:p>
    <w:tbl>
      <w:tblPr>
        <w:tblW w:type="dxa" w:w="9216"/>
        <w:tblBorders>
          <w:top w:val="none" w:color="FFFFFF" w:sz="0"/>
          <w:left w:val="single" w:color="5E35B1" w:sz="18"/>
          <w:bottom w:val="none" w:color="FFFFFF" w:sz="0"/>
          <w:right w:val="none" w:color="FFFFFF" w:sz="0"/>
          <w:insideH w:val="none" w:color="FFFFFF" w:sz="0"/>
          <w:insideV w:val="none" w:color="FFFFFF" w:sz="0"/>
        </w:tblBorders>
      </w:tblPr>
      <w:tblGrid>
        <w:gridCol w:w="9216"/>
      </w:tblGrid>
      <w:tr>
        <w:tc>
          <w:tcPr>
            <w:tcW w:type="dxa" w:w="9216"/>
            <w:shd w:fill="EDE7F6"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5E35B1"/>
                <w:sz w:val="22"/>
                <w:szCs w:val="22"/>
              </w:rPr>
              <w:t xml:space="preserve">☑ 沟通机制（项目全程有效）</w:t>
            </w:r>
          </w:p>
          <w:p>
            <w:pPr>
              <w:pStyle w:val="ListParagraph"/>
              <w:numPr>
                <w:ilvl w:val="0"/>
                <w:numId w:val="4"/>
              </w:numPr>
              <w:spacing w:after="60" w:before="0" w:line="290"/>
            </w:pPr>
            <w:r>
              <w:rPr>
                <w:rFonts w:ascii="Times New Roman" w:cs="Times New Roman" w:eastAsia="宋体" w:hAnsi="Times New Roman"/>
                <w:b/>
                <w:bCs/>
                <w:i w:val="false"/>
                <w:iCs w:val="false"/>
                <w:color w:val="212121"/>
                <w:sz w:val="21"/>
                <w:szCs w:val="21"/>
              </w:rPr>
              <w:t xml:space="preserve">周例会：</w:t>
            </w:r>
            <w:r>
              <w:rPr>
                <w:rFonts w:ascii="Times New Roman" w:cs="Times New Roman" w:eastAsia="宋体" w:hAnsi="Times New Roman"/>
                <w:b w:val="false"/>
                <w:bCs w:val="false"/>
                <w:i w:val="false"/>
                <w:iCs w:val="false"/>
                <w:color w:val="212121"/>
                <w:sz w:val="21"/>
                <w:szCs w:val="21"/>
              </w:rPr>
              <w:t xml:space="preserve">固定时间召开，30-45分钟，同步进展、待办与风险</w:t>
            </w:r>
          </w:p>
          <w:p>
            <w:pPr>
              <w:pStyle w:val="ListParagraph"/>
              <w:numPr>
                <w:ilvl w:val="0"/>
                <w:numId w:val="4"/>
              </w:numPr>
              <w:spacing w:after="60" w:before="0" w:line="290"/>
            </w:pPr>
            <w:r>
              <w:rPr>
                <w:rFonts w:ascii="Times New Roman" w:cs="Times New Roman" w:eastAsia="宋体" w:hAnsi="Times New Roman"/>
                <w:b/>
                <w:bCs/>
                <w:i w:val="false"/>
                <w:iCs w:val="false"/>
                <w:color w:val="212121"/>
                <w:sz w:val="21"/>
                <w:szCs w:val="21"/>
              </w:rPr>
              <w:t xml:space="preserve">即时沟通：</w:t>
            </w:r>
            <w:r>
              <w:rPr>
                <w:rFonts w:ascii="Times New Roman" w:cs="Times New Roman" w:eastAsia="宋体" w:hAnsi="Times New Roman"/>
                <w:b w:val="false"/>
                <w:bCs w:val="false"/>
                <w:i w:val="false"/>
                <w:iCs w:val="false"/>
                <w:color w:val="212121"/>
                <w:sz w:val="21"/>
                <w:szCs w:val="21"/>
              </w:rPr>
              <w:t xml:space="preserve">工作时段内消息2小时内响应，紧急事项电话直连项目经理</w:t>
            </w:r>
          </w:p>
          <w:p>
            <w:pPr>
              <w:pStyle w:val="ListParagraph"/>
              <w:numPr>
                <w:ilvl w:val="0"/>
                <w:numId w:val="4"/>
              </w:numPr>
              <w:spacing w:after="60" w:before="0" w:line="290"/>
            </w:pPr>
            <w:r>
              <w:rPr>
                <w:rFonts w:ascii="Times New Roman" w:cs="Times New Roman" w:eastAsia="宋体" w:hAnsi="Times New Roman"/>
                <w:b/>
                <w:bCs/>
                <w:i w:val="false"/>
                <w:iCs w:val="false"/>
                <w:color w:val="212121"/>
                <w:sz w:val="21"/>
                <w:szCs w:val="21"/>
              </w:rPr>
              <w:t xml:space="preserve">书面周报：</w:t>
            </w:r>
            <w:r>
              <w:rPr>
                <w:rFonts w:ascii="Times New Roman" w:cs="Times New Roman" w:eastAsia="宋体" w:hAnsi="Times New Roman"/>
                <w:b w:val="false"/>
                <w:bCs w:val="false"/>
                <w:i w:val="false"/>
                <w:iCs w:val="false"/>
                <w:color w:val="212121"/>
                <w:sz w:val="21"/>
                <w:szCs w:val="21"/>
              </w:rPr>
              <w:t xml:space="preserve">每周五发送，列明本周完成、下周计划、待客户配合事项与风险提示</w:t>
            </w:r>
          </w:p>
        </w:tc>
      </w:tr>
    </w:tbl>
    <w:p>
      <w:pPr>
        <w:spacing w:after="120" w:before="0"/>
      </w:pPr>
    </w:p>
    <w:p>
      <w:pPr>
        <w:pStyle w:val="Heading2"/>
        <w:keepNext/>
        <w:spacing w:after="140" w:before="300"/>
      </w:pPr>
      <w:r>
        <w:rPr>
          <w:rFonts w:ascii="Times New Roman" w:cs="Times New Roman" w:eastAsia="黑体" w:hAnsi="Times New Roman"/>
          <w:b/>
          <w:bCs/>
          <w:color w:val="283593"/>
          <w:sz w:val="26"/>
          <w:szCs w:val="26"/>
        </w:rPr>
        <w:t xml:space="preserve">S2 客户信息采集　|　第1-3天</w:t>
      </w:r>
    </w:p>
    <w:p>
      <w:pPr>
        <w:spacing w:after="110" w:before="0" w:line="300"/>
        <w:jc w:val="left"/>
      </w:pPr>
      <w:r>
        <w:rPr>
          <w:rFonts w:ascii="Times New Roman" w:cs="Times New Roman" w:eastAsia="宋体" w:hAnsi="Times New Roman"/>
          <w:b/>
          <w:bCs/>
          <w:i w:val="false"/>
          <w:iCs w:val="false"/>
          <w:color w:val="2E7D32"/>
          <w:sz w:val="21"/>
          <w:szCs w:val="21"/>
        </w:rPr>
        <w:t xml:space="preserve">我们做什么</w:t>
      </w:r>
    </w:p>
    <w:p>
      <w:pPr>
        <w:pStyle w:val="ListParagraph"/>
        <w:numPr>
          <w:ilvl w:val="0"/>
          <w:numId w:val="5"/>
        </w:numPr>
        <w:spacing w:after="70" w:before="0" w:line="300"/>
      </w:pPr>
      <w:r>
        <w:rPr>
          <w:rFonts w:ascii="Times New Roman" w:cs="Times New Roman" w:eastAsia="宋体" w:hAnsi="Times New Roman"/>
          <w:b w:val="false"/>
          <w:bCs w:val="false"/>
          <w:i w:val="false"/>
          <w:iCs w:val="false"/>
          <w:color w:val="212121"/>
          <w:sz w:val="21"/>
          <w:szCs w:val="21"/>
        </w:rPr>
        <w:t xml:space="preserve">发送结构化《客户信息采集表》，附填写说明与样例</w:t>
      </w:r>
    </w:p>
    <w:p>
      <w:pPr>
        <w:pStyle w:val="ListParagraph"/>
        <w:numPr>
          <w:ilvl w:val="0"/>
          <w:numId w:val="5"/>
        </w:numPr>
        <w:spacing w:after="70" w:before="0" w:line="300"/>
      </w:pPr>
      <w:r>
        <w:rPr>
          <w:rFonts w:ascii="Times New Roman" w:cs="Times New Roman" w:eastAsia="宋体" w:hAnsi="Times New Roman"/>
          <w:b w:val="false"/>
          <w:bCs w:val="false"/>
          <w:i w:val="false"/>
          <w:iCs w:val="false"/>
          <w:color w:val="212121"/>
          <w:sz w:val="21"/>
          <w:szCs w:val="21"/>
        </w:rPr>
        <w:t xml:space="preserve">组织1次启动访谈（约2小时），议程：企业出口现状 → 产品与SKU梳理 → 现有认证盘点 → 供应链概况 → 评估范围确认</w:t>
      </w:r>
    </w:p>
    <w:p>
      <w:pPr>
        <w:pStyle w:val="ListParagraph"/>
        <w:numPr>
          <w:ilvl w:val="0"/>
          <w:numId w:val="5"/>
        </w:numPr>
        <w:spacing w:after="70" w:before="0" w:line="300"/>
      </w:pPr>
      <w:r>
        <w:rPr>
          <w:rFonts w:ascii="Times New Roman" w:cs="Times New Roman" w:eastAsia="宋体" w:hAnsi="Times New Roman"/>
          <w:b w:val="false"/>
          <w:bCs w:val="false"/>
          <w:i w:val="false"/>
          <w:iCs w:val="false"/>
          <w:color w:val="212121"/>
          <w:sz w:val="21"/>
          <w:szCs w:val="21"/>
        </w:rPr>
        <w:t xml:space="preserve">逐项讲解后续需要准备的资料清单，明确每个口的对接人和提交时点</w:t>
      </w:r>
    </w:p>
    <w:p>
      <w:pPr>
        <w:pStyle w:val="Heading3"/>
        <w:keepNext/>
        <w:spacing w:after="100" w:before="200"/>
      </w:pPr>
      <w:r>
        <w:rPr>
          <w:rFonts w:ascii="Times New Roman" w:cs="Times New Roman" w:eastAsia="黑体" w:hAnsi="Times New Roman"/>
          <w:b/>
          <w:bCs/>
          <w:color w:val="1A237E"/>
          <w:sz w:val="22"/>
          <w:szCs w:val="22"/>
        </w:rPr>
        <w:t xml:space="preserve">采集表包含哪些字段</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400"/>
        <w:gridCol w:w="6816"/>
      </w:tblGrid>
      <w:tr>
        <w:trPr>
          <w:cantSplit/>
          <w:tblHeader/>
        </w:trPr>
        <w:tc>
          <w:tcPr>
            <w:tcW w:type="dxa" w:w="24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板块</w:t>
            </w:r>
          </w:p>
        </w:tc>
        <w:tc>
          <w:tcPr>
            <w:tcW w:type="dxa" w:w="68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字段明细</w:t>
            </w:r>
          </w:p>
        </w:tc>
      </w:tr>
      <w:tr>
        <w:trPr>
          <w:cantSplit/>
        </w:trPr>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企业基本信息</w:t>
            </w:r>
          </w:p>
        </w:tc>
        <w:tc>
          <w:tcPr>
            <w:tcW w:type="dxa" w:w="68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企业名称、注册地址、统一社会信用代码、指定联系人及联系方式</w:t>
            </w:r>
          </w:p>
        </w:tc>
      </w:tr>
      <w:tr>
        <w:trPr>
          <w:cantSplit/>
        </w:trPr>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出口历史</w:t>
            </w:r>
          </w:p>
        </w:tc>
        <w:tc>
          <w:tcPr>
            <w:tcW w:type="dxa" w:w="68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近3年对欧盟出口额、目的国、客户类型（整车厂/集成商/品牌商）、现有订单与出货计划</w:t>
            </w:r>
          </w:p>
        </w:tc>
      </w:tr>
      <w:tr>
        <w:trPr>
          <w:cantSplit/>
        </w:trPr>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产品清单（SKU明细）</w:t>
            </w:r>
          </w:p>
        </w:tc>
        <w:tc>
          <w:tcPr>
            <w:tcW w:type="dxa" w:w="68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型号、化学体系（如NCM/LFP）、额定容量、重量、用途、年产量</w:t>
            </w:r>
          </w:p>
        </w:tc>
      </w:tr>
      <w:tr>
        <w:trPr>
          <w:cantSplit/>
        </w:trPr>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电池类型</w:t>
            </w:r>
          </w:p>
        </w:tc>
        <w:tc>
          <w:tcPr>
            <w:tcW w:type="dxa" w:w="68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自评EV/LMT/工业/便携/SLI（由我方依据规格书最终判定）</w:t>
            </w:r>
          </w:p>
        </w:tc>
      </w:tr>
      <w:tr>
        <w:trPr>
          <w:cantSplit/>
        </w:trPr>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现有认证清单</w:t>
            </w:r>
          </w:p>
        </w:tc>
        <w:tc>
          <w:tcPr>
            <w:tcW w:type="dxa" w:w="68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CE、UL、UN38.3、IEC等证书编号、覆盖产品、有效期</w:t>
            </w:r>
          </w:p>
        </w:tc>
      </w:tr>
      <w:tr>
        <w:trPr>
          <w:cantSplit/>
        </w:trPr>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供应链概况</w:t>
            </w:r>
          </w:p>
        </w:tc>
        <w:tc>
          <w:tcPr>
            <w:tcW w:type="dxa" w:w="68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关键材料一级供应商数量、是否有境外供应商、是否已有供应商数据收集动作</w:t>
            </w:r>
          </w:p>
        </w:tc>
      </w:tr>
    </w:tbl>
    <w:p>
      <w:pPr>
        <w:spacing w:after="80"/>
      </w:pPr>
    </w:p>
    <w:p>
      <w:pPr>
        <w:spacing w:after="110" w:before="0" w:line="300"/>
        <w:jc w:val="left"/>
      </w:pPr>
      <w:r>
        <w:rPr>
          <w:rFonts w:ascii="Times New Roman" w:cs="Times New Roman" w:eastAsia="宋体" w:hAnsi="Times New Roman"/>
          <w:b/>
          <w:bCs/>
          <w:i w:val="false"/>
          <w:iCs w:val="false"/>
          <w:color w:val="2E7D32"/>
          <w:sz w:val="21"/>
          <w:szCs w:val="21"/>
        </w:rPr>
        <w:t xml:space="preserve">您需要配合</w:t>
      </w:r>
    </w:p>
    <w:p>
      <w:pPr>
        <w:pStyle w:val="ListParagraph"/>
        <w:numPr>
          <w:ilvl w:val="0"/>
          <w:numId w:val="6"/>
        </w:numPr>
        <w:spacing w:after="70" w:before="0" w:line="300"/>
      </w:pPr>
      <w:r>
        <w:rPr>
          <w:rFonts w:ascii="Times New Roman" w:cs="Times New Roman" w:eastAsia="宋体" w:hAnsi="Times New Roman"/>
          <w:b w:val="false"/>
          <w:bCs w:val="false"/>
          <w:i w:val="false"/>
          <w:iCs w:val="false"/>
          <w:color w:val="212121"/>
          <w:sz w:val="21"/>
          <w:szCs w:val="21"/>
        </w:rPr>
        <w:t xml:space="preserve">在启动访谈前完成采集表填写（确有困难可在访谈中由我方协助代填）</w:t>
      </w:r>
    </w:p>
    <w:p>
      <w:pPr>
        <w:pStyle w:val="ListParagraph"/>
        <w:numPr>
          <w:ilvl w:val="0"/>
          <w:numId w:val="6"/>
        </w:numPr>
        <w:spacing w:after="70" w:before="0" w:line="300"/>
      </w:pPr>
      <w:r>
        <w:rPr>
          <w:rFonts w:ascii="Times New Roman" w:cs="Times New Roman" w:eastAsia="宋体" w:hAnsi="Times New Roman"/>
          <w:b w:val="false"/>
          <w:bCs w:val="false"/>
          <w:i w:val="false"/>
          <w:iCs w:val="false"/>
          <w:color w:val="212121"/>
          <w:sz w:val="21"/>
          <w:szCs w:val="21"/>
        </w:rPr>
        <w:t xml:space="preserve">安排产品/技术、采购部门负责人参加访谈</w:t>
      </w:r>
    </w:p>
    <w:p>
      <w:pPr>
        <w:spacing w:after="110" w:before="0" w:line="300"/>
        <w:jc w:val="left"/>
      </w:pPr>
      <w:r>
        <w:rPr>
          <w:rFonts w:ascii="Times New Roman" w:cs="Times New Roman" w:eastAsia="宋体" w:hAnsi="Times New Roman"/>
          <w:b/>
          <w:bCs/>
          <w:i w:val="false"/>
          <w:iCs w:val="false"/>
          <w:color w:val="2E7D32"/>
          <w:sz w:val="21"/>
          <w:szCs w:val="21"/>
        </w:rPr>
        <w:t xml:space="preserve">输出物：</w:t>
      </w:r>
      <w:r>
        <w:rPr>
          <w:rFonts w:ascii="Times New Roman" w:cs="Times New Roman" w:eastAsia="宋体" w:hAnsi="Times New Roman"/>
          <w:b w:val="false"/>
          <w:bCs w:val="false"/>
          <w:i w:val="false"/>
          <w:iCs w:val="false"/>
          <w:color w:val="212121"/>
          <w:sz w:val="21"/>
          <w:szCs w:val="21"/>
        </w:rPr>
        <w:t xml:space="preserve">《客户信息档案》《评估范围确认书》（双方签字确认，作为后续工作边界）</w:t>
      </w:r>
    </w:p>
    <w:p>
      <w:pPr>
        <w:pStyle w:val="Heading3"/>
        <w:keepNext/>
        <w:spacing w:after="100" w:before="200"/>
      </w:pPr>
      <w:r>
        <w:rPr>
          <w:rFonts w:ascii="Times New Roman" w:cs="Times New Roman" w:eastAsia="黑体" w:hAnsi="Times New Roman"/>
          <w:b/>
          <w:bCs/>
          <w:color w:val="1A237E"/>
          <w:sz w:val="22"/>
          <w:szCs w:val="22"/>
        </w:rPr>
        <w:t xml:space="preserve">附：电池类型判定流程（启动访谈现场逐项过）</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600"/>
        <w:gridCol w:w="500"/>
        <w:gridCol w:w="5116"/>
      </w:tblGrid>
      <w:tr>
        <w:trPr>
          <w:cantSplit/>
          <w:tblHeader/>
        </w:trPr>
        <w:tc>
          <w:tcPr>
            <w:tcW w:type="dxa" w:w="36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判定问题</w:t>
            </w:r>
          </w:p>
        </w:tc>
        <w:tc>
          <w:tcPr>
            <w:tcW w:type="dxa" w:w="5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
            </w:r>
          </w:p>
        </w:tc>
        <w:tc>
          <w:tcPr>
            <w:tcW w:type="dxa" w:w="51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结论</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是否为车辆牵引供电？</w:t>
            </w:r>
          </w:p>
        </w:tc>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w:t>
            </w:r>
          </w:p>
        </w:tc>
        <w:tc>
          <w:tcPr>
            <w:tcW w:type="dxa" w:w="51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EV电池</w:t>
            </w:r>
            <w:r>
              <w:rPr>
                <w:rFonts w:ascii="Times New Roman" w:cs="Times New Roman" w:eastAsia="宋体" w:hAnsi="Times New Roman"/>
                <w:b w:val="false"/>
                <w:bCs w:val="false"/>
                <w:i w:val="false"/>
                <w:iCs w:val="false"/>
                <w:color w:val="78909C"/>
                <w:sz w:val="21"/>
                <w:szCs w:val="21"/>
              </w:rPr>
              <w:t xml:space="preserve">　为M/N/O类或&gt;25kg的L类车辆牵引供电</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是否为轻型交通工具（≤25kg设备）供电？</w:t>
            </w:r>
          </w:p>
        </w:tc>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w:t>
            </w:r>
          </w:p>
        </w:tc>
        <w:tc>
          <w:tcPr>
            <w:tcW w:type="dxa" w:w="51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LMT电池</w:t>
            </w:r>
            <w:r>
              <w:rPr>
                <w:rFonts w:ascii="Times New Roman" w:cs="Times New Roman" w:eastAsia="宋体" w:hAnsi="Times New Roman"/>
                <w:b w:val="false"/>
                <w:bCs w:val="false"/>
                <w:i w:val="false"/>
                <w:iCs w:val="false"/>
                <w:color w:val="78909C"/>
                <w:sz w:val="21"/>
                <w:szCs w:val="21"/>
              </w:rPr>
              <w:t xml:space="preserve">　电动自行车、电动滑板车等L类车辆</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是否工业用途且容量&gt;2kWh？</w:t>
            </w:r>
          </w:p>
        </w:tc>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w:t>
            </w:r>
          </w:p>
        </w:tc>
        <w:tc>
          <w:tcPr>
            <w:tcW w:type="dxa" w:w="51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工业电池（适用护照）</w:t>
            </w:r>
            <w:r>
              <w:rPr>
                <w:rFonts w:ascii="Times New Roman" w:cs="Times New Roman" w:eastAsia="宋体" w:hAnsi="Times New Roman"/>
                <w:b w:val="false"/>
                <w:bCs w:val="false"/>
                <w:i w:val="false"/>
                <w:iCs w:val="false"/>
                <w:color w:val="78909C"/>
                <w:sz w:val="21"/>
                <w:szCs w:val="21"/>
              </w:rPr>
              <w:t xml:space="preserve">　含固定储能系统电池</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是否便携式密封电池？</w:t>
            </w:r>
          </w:p>
        </w:tc>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w:t>
            </w:r>
          </w:p>
        </w:tc>
        <w:tc>
          <w:tcPr>
            <w:tcW w:type="dxa" w:w="51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便携式电池（不适用护照）</w:t>
            </w:r>
            <w:r>
              <w:rPr>
                <w:rFonts w:ascii="Times New Roman" w:cs="Times New Roman" w:eastAsia="宋体" w:hAnsi="Times New Roman"/>
                <w:b w:val="false"/>
                <w:bCs w:val="false"/>
                <w:i w:val="false"/>
                <w:iCs w:val="false"/>
                <w:color w:val="78909C"/>
                <w:sz w:val="21"/>
                <w:szCs w:val="21"/>
              </w:rPr>
              <w:t xml:space="preserve">　密封、≤5kg，但仍适用标签/EPR义务</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是否用于启动/照明/点火？</w:t>
            </w:r>
          </w:p>
        </w:tc>
        <w:tc>
          <w:tcPr>
            <w:tcW w:type="dxa" w:w="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w:t>
            </w:r>
          </w:p>
        </w:tc>
        <w:tc>
          <w:tcPr>
            <w:tcW w:type="dxa" w:w="51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SLI电池（不适用护照）</w:t>
            </w:r>
          </w:p>
        </w:tc>
      </w:tr>
    </w:tbl>
    <w:p>
      <w:pPr>
        <w:spacing w:after="80"/>
      </w:pPr>
    </w:p>
    <w:tbl>
      <w:tblPr>
        <w:tblW w:type="dxa" w:w="9216"/>
        <w:tblBorders>
          <w:top w:val="none" w:color="FFFFFF" w:sz="0"/>
          <w:left w:val="single" w:color="E65100" w:sz="18"/>
          <w:bottom w:val="none" w:color="FFFFFF" w:sz="0"/>
          <w:right w:val="none" w:color="FFFFFF" w:sz="0"/>
          <w:insideH w:val="none" w:color="FFFFFF" w:sz="0"/>
          <w:insideV w:val="none" w:color="FFFFFF" w:sz="0"/>
        </w:tblBorders>
      </w:tblPr>
      <w:tblGrid>
        <w:gridCol w:w="9216"/>
      </w:tblGrid>
      <w:tr>
        <w:tc>
          <w:tcPr>
            <w:tcW w:type="dxa" w:w="9216"/>
            <w:shd w:fill="FFF3E0"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BF4B00"/>
                <w:sz w:val="22"/>
                <w:szCs w:val="22"/>
              </w:rPr>
              <w:t xml:space="preserve">⚠️ 为什么这一步必须严谨</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判定结果直接影响评估范围和关键日期：同一企业可能同时生产多种类型电池（如LMT+工业+便携），必须按SKU分开标注，不适用项不计入评级分母。类型判错，后续所有结论都会错。</w:t>
            </w:r>
          </w:p>
        </w:tc>
      </w:tr>
    </w:tbl>
    <w:p>
      <w:pPr>
        <w:spacing w:after="120" w:before="0"/>
      </w:pPr>
    </w:p>
    <w:p>
      <w:pPr>
        <w:pStyle w:val="Heading2"/>
        <w:keepNext/>
        <w:spacing w:after="140" w:before="300"/>
      </w:pPr>
      <w:r>
        <w:rPr>
          <w:rFonts w:ascii="Times New Roman" w:cs="Times New Roman" w:eastAsia="黑体" w:hAnsi="Times New Roman"/>
          <w:b/>
          <w:bCs/>
          <w:color w:val="283593"/>
          <w:sz w:val="26"/>
          <w:szCs w:val="26"/>
        </w:rPr>
        <w:t xml:space="preserve">S3 法规适配确认　|　第3-5天</w:t>
      </w:r>
    </w:p>
    <w:p>
      <w:pPr>
        <w:spacing w:after="110" w:before="0" w:line="300"/>
        <w:jc w:val="left"/>
      </w:pPr>
      <w:r>
        <w:rPr>
          <w:rFonts w:ascii="Times New Roman" w:cs="Times New Roman" w:eastAsia="宋体" w:hAnsi="Times New Roman"/>
          <w:b/>
          <w:bCs/>
          <w:i w:val="false"/>
          <w:iCs w:val="false"/>
          <w:color w:val="2E7D32"/>
          <w:sz w:val="21"/>
          <w:szCs w:val="21"/>
        </w:rPr>
        <w:t xml:space="preserve">我们做什么</w:t>
      </w:r>
    </w:p>
    <w:p>
      <w:pPr>
        <w:pStyle w:val="ListParagraph"/>
        <w:numPr>
          <w:ilvl w:val="0"/>
          <w:numId w:val="7"/>
        </w:numPr>
        <w:spacing w:after="70" w:before="0" w:line="300"/>
      </w:pPr>
      <w:r>
        <w:rPr>
          <w:rFonts w:ascii="Times New Roman" w:cs="Times New Roman" w:eastAsia="宋体" w:hAnsi="Times New Roman"/>
          <w:b w:val="false"/>
          <w:bCs w:val="false"/>
          <w:i w:val="false"/>
          <w:iCs w:val="false"/>
          <w:color w:val="212121"/>
          <w:sz w:val="21"/>
          <w:szCs w:val="21"/>
        </w:rPr>
        <w:t xml:space="preserve">根据确认的产品类型，逐项核对71个数据点的适用条款，生成《法规适配矩阵》</w:t>
      </w:r>
    </w:p>
    <w:p>
      <w:pPr>
        <w:pStyle w:val="ListParagraph"/>
        <w:numPr>
          <w:ilvl w:val="0"/>
          <w:numId w:val="7"/>
        </w:numPr>
        <w:spacing w:after="70" w:before="0" w:line="300"/>
      </w:pPr>
      <w:r>
        <w:rPr>
          <w:rFonts w:ascii="Times New Roman" w:cs="Times New Roman" w:eastAsia="宋体" w:hAnsi="Times New Roman"/>
          <w:b w:val="false"/>
          <w:bCs w:val="false"/>
          <w:i w:val="false"/>
          <w:iCs w:val="false"/>
          <w:color w:val="212121"/>
          <w:sz w:val="21"/>
          <w:szCs w:val="21"/>
        </w:rPr>
        <w:t xml:space="preserve">71数据点并非全部适用于所有电池类型——每项明确标注：</w:t>
      </w:r>
      <w:r>
        <w:rPr>
          <w:rFonts w:ascii="Times New Roman" w:cs="Times New Roman" w:eastAsia="宋体" w:hAnsi="Times New Roman"/>
          <w:b/>
          <w:bCs/>
          <w:i w:val="false"/>
          <w:iCs w:val="false"/>
          <w:color w:val="212121"/>
          <w:sz w:val="21"/>
          <w:szCs w:val="21"/>
        </w:rPr>
        <w:t xml:space="preserve">强制适用 / 条件适用 / 不适用 / 暂不填报</w:t>
      </w:r>
      <w:r>
        <w:rPr>
          <w:rFonts w:ascii="Times New Roman" w:cs="Times New Roman" w:eastAsia="宋体" w:hAnsi="Times New Roman"/>
          <w:b w:val="false"/>
          <w:bCs w:val="false"/>
          <w:i w:val="false"/>
          <w:iCs w:val="false"/>
          <w:color w:val="212121"/>
          <w:sz w:val="21"/>
          <w:szCs w:val="21"/>
        </w:rPr>
        <w:t xml:space="preserve">，并注明条款依据</w:t>
      </w:r>
    </w:p>
    <w:p>
      <w:pPr>
        <w:pStyle w:val="ListParagraph"/>
        <w:numPr>
          <w:ilvl w:val="0"/>
          <w:numId w:val="7"/>
        </w:numPr>
        <w:spacing w:after="70" w:before="0" w:line="300"/>
      </w:pPr>
      <w:r>
        <w:rPr>
          <w:rFonts w:ascii="Times New Roman" w:cs="Times New Roman" w:eastAsia="宋体" w:hAnsi="Times New Roman"/>
          <w:b w:val="false"/>
          <w:bCs w:val="false"/>
          <w:i w:val="false"/>
          <w:iCs w:val="false"/>
          <w:color w:val="212121"/>
          <w:sz w:val="21"/>
          <w:szCs w:val="21"/>
        </w:rPr>
        <w:t xml:space="preserve">确认与贵司产品相关的关键日期节点（如LMT企业的标签日期、工业电池企业的碳足迹日期），剔除与您无关的日期</w:t>
      </w:r>
    </w:p>
    <w:p>
      <w:pPr>
        <w:spacing w:after="110" w:before="0" w:line="300"/>
        <w:jc w:val="left"/>
      </w:pPr>
      <w:r>
        <w:rPr>
          <w:rFonts w:ascii="Times New Roman" w:cs="Times New Roman" w:eastAsia="宋体" w:hAnsi="Times New Roman"/>
          <w:b/>
          <w:bCs/>
          <w:i w:val="false"/>
          <w:iCs w:val="false"/>
          <w:color w:val="2E7D32"/>
          <w:sz w:val="21"/>
          <w:szCs w:val="21"/>
        </w:rPr>
        <w:t xml:space="preserve">您需要配合：</w:t>
      </w:r>
      <w:r>
        <w:rPr>
          <w:rFonts w:ascii="Times New Roman" w:cs="Times New Roman" w:eastAsia="宋体" w:hAnsi="Times New Roman"/>
          <w:b w:val="false"/>
          <w:bCs w:val="false"/>
          <w:i w:val="false"/>
          <w:iCs w:val="false"/>
          <w:color w:val="212121"/>
          <w:sz w:val="21"/>
          <w:szCs w:val="21"/>
        </w:rPr>
        <w:t xml:space="preserve">安排技术/质量负责人参加1次适配确认会（约1小时），对矩阵中的条件适用项提供业务事实（如是否含镉、是否使用再生料）</w:t>
      </w:r>
    </w:p>
    <w:p>
      <w:pPr>
        <w:spacing w:after="110" w:before="0" w:line="300"/>
        <w:jc w:val="left"/>
      </w:pPr>
      <w:r>
        <w:rPr>
          <w:rFonts w:ascii="Times New Roman" w:cs="Times New Roman" w:eastAsia="宋体" w:hAnsi="Times New Roman"/>
          <w:b/>
          <w:bCs/>
          <w:i w:val="false"/>
          <w:iCs w:val="false"/>
          <w:color w:val="2E7D32"/>
          <w:sz w:val="21"/>
          <w:szCs w:val="21"/>
        </w:rPr>
        <w:t xml:space="preserve">输出物：</w:t>
      </w:r>
      <w:r>
        <w:rPr>
          <w:rFonts w:ascii="Times New Roman" w:cs="Times New Roman" w:eastAsia="宋体" w:hAnsi="Times New Roman"/>
          <w:b w:val="false"/>
          <w:bCs w:val="false"/>
          <w:i w:val="false"/>
          <w:iCs w:val="false"/>
          <w:color w:val="212121"/>
          <w:sz w:val="21"/>
          <w:szCs w:val="21"/>
        </w:rPr>
        <w:t xml:space="preserve">《法规适配矩阵》（Excel，71数据点×电池类型）、《适用数据项清单》、《关键日期确认表》</w:t>
      </w:r>
    </w:p>
    <w:tbl>
      <w:tblPr>
        <w:tblW w:type="dxa" w:w="9216"/>
        <w:tblBorders>
          <w:top w:val="none" w:color="FFFFFF" w:sz="0"/>
          <w:left w:val="single" w:color="2E7D32" w:sz="18"/>
          <w:bottom w:val="none" w:color="FFFFFF" w:sz="0"/>
          <w:right w:val="none" w:color="FFFFFF" w:sz="0"/>
          <w:insideH w:val="none" w:color="FFFFFF" w:sz="0"/>
          <w:insideV w:val="none" w:color="FFFFFF" w:sz="0"/>
        </w:tblBorders>
      </w:tblPr>
      <w:tblGrid>
        <w:gridCol w:w="9216"/>
      </w:tblGrid>
      <w:tr>
        <w:tc>
          <w:tcPr>
            <w:tcW w:type="dxa" w:w="9216"/>
            <w:shd w:fill="E8F5E9"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2E7D32"/>
                <w:sz w:val="22"/>
                <w:szCs w:val="22"/>
              </w:rPr>
              <w:t xml:space="preserve">💡 矩阵示例（节选）</w:t>
            </w:r>
          </w:p>
          <w:p>
            <w:pPr>
              <w:pStyle w:val="ListParagraph"/>
              <w:numPr>
                <w:ilvl w:val="0"/>
                <w:numId w:val="8"/>
              </w:numPr>
              <w:spacing w:after="60" w:before="0" w:line="290"/>
            </w:pPr>
            <w:r>
              <w:rPr>
                <w:rFonts w:ascii="Times New Roman" w:cs="Times New Roman" w:eastAsia="宋体" w:hAnsi="Times New Roman"/>
                <w:b w:val="false"/>
                <w:bCs w:val="false"/>
                <w:i w:val="false"/>
                <w:iCs w:val="false"/>
                <w:color w:val="212121"/>
                <w:sz w:val="21"/>
                <w:szCs w:val="21"/>
              </w:rPr>
              <w:t xml:space="preserve">「碳足迹声明」→ EV：条件适用（授权法案时间表）；LMT：2028-08-18起；工业：条件适用</w:t>
            </w:r>
          </w:p>
          <w:p>
            <w:pPr>
              <w:pStyle w:val="ListParagraph"/>
              <w:numPr>
                <w:ilvl w:val="0"/>
                <w:numId w:val="8"/>
              </w:numPr>
              <w:spacing w:after="60" w:before="0" w:line="290"/>
            </w:pPr>
            <w:r>
              <w:rPr>
                <w:rFonts w:ascii="Times New Roman" w:cs="Times New Roman" w:eastAsia="宋体" w:hAnsi="Times New Roman"/>
                <w:b w:val="false"/>
                <w:bCs w:val="false"/>
                <w:i w:val="false"/>
                <w:iCs w:val="false"/>
                <w:color w:val="212121"/>
                <w:sz w:val="21"/>
                <w:szCs w:val="21"/>
              </w:rPr>
              <w:t xml:space="preserve">「容量耗尽阈值SOCE」→ EV：强制；LMT/工业：暂不填报</w:t>
            </w:r>
          </w:p>
          <w:p>
            <w:pPr>
              <w:pStyle w:val="ListParagraph"/>
              <w:numPr>
                <w:ilvl w:val="0"/>
                <w:numId w:val="8"/>
              </w:numPr>
              <w:spacing w:after="60" w:before="0" w:line="290"/>
            </w:pPr>
            <w:r>
              <w:rPr>
                <w:rFonts w:ascii="Times New Roman" w:cs="Times New Roman" w:eastAsia="宋体" w:hAnsi="Times New Roman"/>
                <w:b w:val="false"/>
                <w:bCs w:val="false"/>
                <w:i w:val="false"/>
                <w:iCs w:val="false"/>
                <w:color w:val="212121"/>
                <w:sz w:val="21"/>
                <w:szCs w:val="21"/>
              </w:rPr>
              <w:t xml:space="preserve">「负责任采购信息」→ 三类均标注：随尽调义务2027-08-18起适用</w:t>
            </w:r>
          </w:p>
        </w:tc>
      </w:tr>
    </w:tbl>
    <w:p>
      <w:pPr>
        <w:spacing w:after="120" w:before="0"/>
      </w:pPr>
    </w:p>
    <w:p>
      <w:pPr>
        <w:pStyle w:val="Heading2"/>
        <w:keepNext/>
        <w:spacing w:after="140" w:before="300"/>
      </w:pPr>
      <w:r>
        <w:rPr>
          <w:rFonts w:ascii="Times New Roman" w:cs="Times New Roman" w:eastAsia="黑体" w:hAnsi="Times New Roman"/>
          <w:b/>
          <w:bCs/>
          <w:color w:val="283593"/>
          <w:sz w:val="26"/>
          <w:szCs w:val="26"/>
        </w:rPr>
        <w:t xml:space="preserve">S4 现状核查（核心环节）　|　第5-10天</w:t>
      </w:r>
    </w:p>
    <w:p>
      <w:pPr>
        <w:spacing w:after="110" w:before="0" w:line="300"/>
        <w:jc w:val="left"/>
      </w:pPr>
      <w:r>
        <w:rPr>
          <w:rFonts w:ascii="Times New Roman" w:cs="Times New Roman" w:eastAsia="宋体" w:hAnsi="Times New Roman"/>
          <w:b/>
          <w:bCs/>
          <w:i w:val="false"/>
          <w:iCs w:val="false"/>
          <w:color w:val="2E7D32"/>
          <w:sz w:val="21"/>
          <w:szCs w:val="21"/>
        </w:rPr>
        <w:t xml:space="preserve">我们做什么</w:t>
      </w:r>
    </w:p>
    <w:p>
      <w:pPr>
        <w:pStyle w:val="ListParagraph"/>
        <w:numPr>
          <w:ilvl w:val="0"/>
          <w:numId w:val="9"/>
        </w:numPr>
        <w:spacing w:after="70" w:before="0" w:line="300"/>
      </w:pPr>
      <w:r>
        <w:rPr>
          <w:rFonts w:ascii="Times New Roman" w:cs="Times New Roman" w:eastAsia="宋体" w:hAnsi="Times New Roman"/>
          <w:b w:val="false"/>
          <w:bCs w:val="false"/>
          <w:i w:val="false"/>
          <w:iCs w:val="false"/>
          <w:color w:val="212121"/>
          <w:sz w:val="21"/>
          <w:szCs w:val="21"/>
        </w:rPr>
        <w:t xml:space="preserve">执行32项核心核查（6大维度），逐项核查并收集书面证据，登记证据索引</w:t>
      </w:r>
    </w:p>
    <w:p>
      <w:pPr>
        <w:pStyle w:val="ListParagraph"/>
        <w:numPr>
          <w:ilvl w:val="0"/>
          <w:numId w:val="9"/>
        </w:numPr>
        <w:spacing w:after="70" w:before="0" w:line="300"/>
      </w:pPr>
      <w:r>
        <w:rPr>
          <w:rFonts w:ascii="Times New Roman" w:cs="Times New Roman" w:eastAsia="宋体" w:hAnsi="Times New Roman"/>
          <w:b w:val="false"/>
          <w:bCs w:val="false"/>
          <w:i w:val="false"/>
          <w:iCs w:val="false"/>
          <w:color w:val="212121"/>
          <w:sz w:val="21"/>
          <w:szCs w:val="21"/>
        </w:rPr>
        <w:t xml:space="preserve">核查方法：</w:t>
      </w:r>
      <w:r>
        <w:rPr>
          <w:rFonts w:ascii="Times New Roman" w:cs="Times New Roman" w:eastAsia="宋体" w:hAnsi="Times New Roman"/>
          <w:b/>
          <w:bCs/>
          <w:i w:val="false"/>
          <w:iCs w:val="false"/>
          <w:color w:val="212121"/>
          <w:sz w:val="21"/>
          <w:szCs w:val="21"/>
        </w:rPr>
        <w:t xml:space="preserve">文件审阅 + 人员访谈 + 系统演示 + 证据采集</w:t>
      </w:r>
      <w:r>
        <w:rPr>
          <w:rFonts w:ascii="Times New Roman" w:cs="Times New Roman" w:eastAsia="宋体" w:hAnsi="Times New Roman"/>
          <w:b w:val="false"/>
          <w:bCs w:val="false"/>
          <w:i w:val="false"/>
          <w:iCs w:val="false"/>
          <w:color w:val="212121"/>
          <w:sz w:val="21"/>
          <w:szCs w:val="21"/>
        </w:rPr>
        <w:t xml:space="preserve">四种方式交叉验证</w:t>
      </w:r>
    </w:p>
    <w:p>
      <w:pPr>
        <w:pStyle w:val="Heading3"/>
        <w:keepNext/>
        <w:spacing w:after="100" w:before="200"/>
      </w:pPr>
      <w:r>
        <w:rPr>
          <w:rFonts w:ascii="Times New Roman" w:cs="Times New Roman" w:eastAsia="黑体" w:hAnsi="Times New Roman"/>
          <w:b/>
          <w:bCs/>
          <w:color w:val="1A237E"/>
          <w:sz w:val="22"/>
          <w:szCs w:val="22"/>
        </w:rPr>
        <w:t xml:space="preserve">6大核查维度</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800"/>
        <w:gridCol w:w="6416"/>
      </w:tblGrid>
      <w:tr>
        <w:trPr>
          <w:cantSplit/>
          <w:tblHeader/>
        </w:trPr>
        <w:tc>
          <w:tcPr>
            <w:tcW w:type="dxa" w:w="28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维度</w:t>
            </w:r>
          </w:p>
        </w:tc>
        <w:tc>
          <w:tcPr>
            <w:tcW w:type="dxa" w:w="64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核查内容</w:t>
            </w:r>
          </w:p>
        </w:tc>
      </w:tr>
      <w:tr>
        <w:trPr>
          <w:cantSplit/>
        </w:trPr>
        <w:tc>
          <w:tcPr>
            <w:tcW w:type="dxa" w:w="2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① 基本合规与身份信息</w:t>
            </w:r>
          </w:p>
        </w:tc>
        <w:tc>
          <w:tcPr>
            <w:tcW w:type="dxa" w:w="64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企业注册信息、制造商身份与地址、欧盟授权代表（如需要）、唯一标识符体系（item级，非型号级）</w:t>
            </w:r>
          </w:p>
        </w:tc>
      </w:tr>
      <w:tr>
        <w:trPr>
          <w:cantSplit/>
        </w:trPr>
        <w:tc>
          <w:tcPr>
            <w:tcW w:type="dxa" w:w="2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② 技术文档与合格评定</w:t>
            </w:r>
          </w:p>
        </w:tc>
        <w:tc>
          <w:tcPr>
            <w:tcW w:type="dxa" w:w="64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CE认证、EU符合性声明(DoC)、技术文件体系、合格评定程序及测试报告</w:t>
            </w:r>
          </w:p>
        </w:tc>
      </w:tr>
      <w:tr>
        <w:trPr>
          <w:cantSplit/>
        </w:trPr>
        <w:tc>
          <w:tcPr>
            <w:tcW w:type="dxa" w:w="2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③ 碳足迹与环境声明</w:t>
            </w:r>
          </w:p>
        </w:tc>
        <w:tc>
          <w:tcPr>
            <w:tcW w:type="dxa" w:w="64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碳足迹研究报告、PEF方法应用、一级数据使用、第三方核验安排</w:t>
            </w:r>
          </w:p>
        </w:tc>
      </w:tr>
      <w:tr>
        <w:trPr>
          <w:cantSplit/>
        </w:trPr>
        <w:tc>
          <w:tcPr>
            <w:tcW w:type="dxa" w:w="2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④ 材料与供应链</w:t>
            </w:r>
          </w:p>
        </w:tc>
        <w:tc>
          <w:tcPr>
            <w:tcW w:type="dxa" w:w="64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材料组成、钴/锂/镍/铅再生含量、危险物质、供应链尽职调查报告</w:t>
            </w:r>
          </w:p>
        </w:tc>
      </w:tr>
      <w:tr>
        <w:trPr>
          <w:cantSplit/>
        </w:trPr>
        <w:tc>
          <w:tcPr>
            <w:tcW w:type="dxa" w:w="2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⑤ 性能与耐久性</w:t>
            </w:r>
          </w:p>
        </w:tc>
        <w:tc>
          <w:tcPr>
            <w:tcW w:type="dxa" w:w="64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容量、循环寿命、内阻、电压与功率参数、安全测试</w:t>
            </w:r>
          </w:p>
        </w:tc>
      </w:tr>
      <w:tr>
        <w:trPr>
          <w:cantSplit/>
        </w:trPr>
        <w:tc>
          <w:tcPr>
            <w:tcW w:type="dxa" w:w="2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⑥ 数据系统与动态数据</w:t>
            </w:r>
          </w:p>
        </w:tc>
        <w:tc>
          <w:tcPr>
            <w:tcW w:type="dxa" w:w="64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BMS数据读取能力、QR码数据载体、IT系统对接能力、数据更新机制</w:t>
            </w:r>
          </w:p>
        </w:tc>
      </w:tr>
    </w:tbl>
    <w:p>
      <w:pPr>
        <w:spacing w:after="80"/>
      </w:pPr>
    </w:p>
    <w:p>
      <w:pPr>
        <w:pStyle w:val="Heading3"/>
        <w:keepNext/>
        <w:spacing w:after="100" w:before="200"/>
      </w:pPr>
      <w:r>
        <w:rPr>
          <w:rFonts w:ascii="Times New Roman" w:cs="Times New Roman" w:eastAsia="黑体" w:hAnsi="Times New Roman"/>
          <w:b/>
          <w:bCs/>
          <w:color w:val="1A237E"/>
          <w:sz w:val="22"/>
          <w:szCs w:val="22"/>
        </w:rPr>
        <w:t xml:space="preserve">逐项四级判定</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200"/>
        <w:gridCol w:w="4308"/>
        <w:gridCol w:w="2708"/>
      </w:tblGrid>
      <w:tr>
        <w:trPr>
          <w:cantSplit/>
          <w:tblHeader/>
        </w:trPr>
        <w:tc>
          <w:tcPr>
            <w:tcW w:type="dxa" w:w="22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判定</w:t>
            </w:r>
          </w:p>
        </w:tc>
        <w:tc>
          <w:tcPr>
            <w:tcW w:type="dxa" w:w="4308"/>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含义</w:t>
            </w:r>
          </w:p>
        </w:tc>
        <w:tc>
          <w:tcPr>
            <w:tcW w:type="dxa" w:w="2708"/>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后续动作</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E7D32"/>
                <w:sz w:val="21"/>
                <w:szCs w:val="21"/>
              </w:rPr>
              <w:t xml:space="preserve">✅ 已满足</w:t>
            </w:r>
          </w:p>
        </w:tc>
        <w:tc>
          <w:tcPr>
            <w:tcW w:type="dxa" w:w="43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证据完整、在有效期、覆盖全部适用SKU</w:t>
            </w:r>
          </w:p>
        </w:tc>
        <w:tc>
          <w:tcPr>
            <w:tcW w:type="dxa" w:w="27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直接进入护照数据材料池</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E65100"/>
                <w:sz w:val="21"/>
                <w:szCs w:val="21"/>
              </w:rPr>
              <w:t xml:space="preserve">🟡 部分满足</w:t>
            </w:r>
          </w:p>
        </w:tc>
        <w:tc>
          <w:tcPr>
            <w:tcW w:type="dxa" w:w="43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有证据但不全、过时或未覆盖全部SKU/供应商</w:t>
            </w:r>
          </w:p>
        </w:tc>
        <w:tc>
          <w:tcPr>
            <w:tcW w:type="dxa" w:w="27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列入短期整改清单</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B71C1C"/>
                <w:sz w:val="21"/>
                <w:szCs w:val="21"/>
              </w:rPr>
              <w:t xml:space="preserve">🔴 未满足</w:t>
            </w:r>
          </w:p>
        </w:tc>
        <w:tc>
          <w:tcPr>
            <w:tcW w:type="dxa" w:w="43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无任何书面证据或无对应流程</w:t>
            </w:r>
          </w:p>
        </w:tc>
        <w:tc>
          <w:tcPr>
            <w:tcW w:type="dxa" w:w="27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列入重点整改清单</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78909C"/>
                <w:sz w:val="21"/>
                <w:szCs w:val="21"/>
              </w:rPr>
              <w:t xml:space="preserve">⚪ 不适用</w:t>
            </w:r>
          </w:p>
        </w:tc>
        <w:tc>
          <w:tcPr>
            <w:tcW w:type="dxa" w:w="43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经法规适配确认与本企业产品无关</w:t>
            </w:r>
          </w:p>
        </w:tc>
        <w:tc>
          <w:tcPr>
            <w:tcW w:type="dxa" w:w="27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不计入评级分母</w:t>
            </w:r>
          </w:p>
        </w:tc>
      </w:tr>
    </w:tbl>
    <w:p>
      <w:pPr>
        <w:spacing w:after="80"/>
      </w:pPr>
    </w:p>
    <w:p>
      <w:pPr>
        <w:pStyle w:val="Heading3"/>
        <w:keepNext/>
        <w:spacing w:after="100" w:before="200"/>
      </w:pPr>
      <w:r>
        <w:rPr>
          <w:rFonts w:ascii="Times New Roman" w:cs="Times New Roman" w:eastAsia="黑体" w:hAnsi="Times New Roman"/>
          <w:b/>
          <w:bCs/>
          <w:color w:val="1A237E"/>
          <w:sz w:val="22"/>
          <w:szCs w:val="22"/>
        </w:rPr>
        <w:t xml:space="preserve">附：证据要求示例——“看到什么”才算数</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200"/>
        <w:gridCol w:w="7016"/>
      </w:tblGrid>
      <w:tr>
        <w:trPr>
          <w:cantSplit/>
          <w:tblHeader/>
        </w:trPr>
        <w:tc>
          <w:tcPr>
            <w:tcW w:type="dxa" w:w="22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核查项</w:t>
            </w:r>
          </w:p>
        </w:tc>
        <w:tc>
          <w:tcPr>
            <w:tcW w:type="dxa" w:w="70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必须看到的证据</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CE认证</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CE证书扫描件 + 公告机构名称及编号（如NB xxxx）+ 证书覆盖产品型号清单 + 签发日期与有效期 + 对应测试报告编号</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碳足迹声明</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LCA研究报告（采用PEF方法）+ 系统边界与功能单位说明 + 现场一级数据来源清单 + 第三方核验意见/委托合同</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再生材料含量</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供应商出具的再生含量声明 + 质量平衡/物料平衡计算表 + 计算口径说明 + 第三方核验证明（如适用）</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SoH动态数据</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BMS系统现场演示（读取指定字段）+ 数据字典/字段说明 + 数据存储与更新机制说明，截图与演示均需可复核</w:t>
            </w:r>
          </w:p>
        </w:tc>
      </w:tr>
    </w:tbl>
    <w:p>
      <w:pPr>
        <w:spacing w:after="80"/>
      </w:pPr>
    </w:p>
    <w:p>
      <w:pPr>
        <w:pStyle w:val="Heading3"/>
        <w:keepNext/>
        <w:spacing w:after="100" w:before="200"/>
      </w:pPr>
      <w:r>
        <w:rPr>
          <w:rFonts w:ascii="Times New Roman" w:cs="Times New Roman" w:eastAsia="黑体" w:hAnsi="Times New Roman"/>
          <w:b/>
          <w:bCs/>
          <w:color w:val="1A237E"/>
          <w:sz w:val="22"/>
          <w:szCs w:val="22"/>
        </w:rPr>
        <w:t xml:space="preserve">完整32项核查清单（A1-F4，与核查底稿一一对应）</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700"/>
        <w:gridCol w:w="2400"/>
        <w:gridCol w:w="3616"/>
        <w:gridCol w:w="2500"/>
      </w:tblGrid>
      <w:tr>
        <w:trPr>
          <w:cantSplit/>
          <w:tblHeader/>
        </w:trPr>
        <w:tc>
          <w:tcPr>
            <w:tcW w:type="dxa" w:w="7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序号</w:t>
            </w:r>
          </w:p>
        </w:tc>
        <w:tc>
          <w:tcPr>
            <w:tcW w:type="dxa" w:w="24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核查项</w:t>
            </w:r>
          </w:p>
        </w:tc>
        <w:tc>
          <w:tcPr>
            <w:tcW w:type="dxa" w:w="36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核查要点</w:t>
            </w:r>
          </w:p>
        </w:tc>
        <w:tc>
          <w:tcPr>
            <w:tcW w:type="dxa" w:w="25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核查方法</w:t>
            </w:r>
          </w:p>
        </w:tc>
      </w:tr>
      <w:tr>
        <w:trPr>
          <w:cantSplit/>
        </w:trPr>
        <w:tc>
          <w:tcPr>
            <w:tcW w:type="dxa" w:w="9216"/>
            <w:gridSpan w:val="4"/>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 企业与产品范围（5项）</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A1</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企业基本信息完备性</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制造商名称、地址、联系方式须写入电池护照</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查阅营业执照、海关记录</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A2</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电池产品类别判定</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按Art.77(1)判定LMT/工业(&gt;2kWh)/EV强制适用</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逐SKU核对规格书</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A3</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出口欧盟业务与目的国</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影响合规优先级与时间表</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调取报关单、客户订单</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A4</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制造地信息完整性</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制造地点信息须进入护照</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盘点工厂与OEM清单</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A5</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品牌/型号/序列号体系</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型号信息须进入护照；护照以单块电池为对象</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检查命名规则与唯一性</w:t>
            </w:r>
          </w:p>
        </w:tc>
      </w:tr>
      <w:tr>
        <w:trPr>
          <w:cantSplit/>
        </w:trPr>
        <w:tc>
          <w:tcPr>
            <w:tcW w:type="dxa" w:w="9216"/>
            <w:gridSpan w:val="4"/>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 合规资质与技术文件（6项）</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B1</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CE认证与EU符合性声明(DoC)</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投放欧盟市场的基本前提</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核验证书、测试报告</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B2</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标签与铭牌合规</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附录VI：容量、化学体系、收集符号、镉/铅标识</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对照附录VI核对实物</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B3</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碳足迹声明</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Art.7：按授权法案时间表分阶段强制</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确认LCA机构委托情况</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B4</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供应链尽职调查政策</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Art.47-51：含钴/锂/镍/天然石墨且&gt;2kWh须尽调</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查阅尽调政策文件</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B5</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技术文件体系化程度</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DoC支撑文件须可随时调取</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抽查文件完整性</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B6</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EPR注册</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Art.55起：生产者注册与EPR义务</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核对成员国注册记录</w:t>
            </w:r>
          </w:p>
        </w:tc>
      </w:tr>
      <w:tr>
        <w:trPr>
          <w:cantSplit/>
        </w:trPr>
        <w:tc>
          <w:tcPr>
            <w:tcW w:type="dxa" w:w="9216"/>
            <w:gridSpan w:val="4"/>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 护照数据项准备（9项）</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C1</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通用制造信息</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制造商信息、制造日期、地点、类别、化学体系</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核对数据格式完整性</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C2</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技术参数数据</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标称电压、额定容量、额定功率/能量、重量</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对照规格书核对</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C3</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预期寿命与质保信息</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预期寿命、质保条款、预期循环次数</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核对研发数据</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C4</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再生材料含量数据</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Art.8：钴/铅/锂/镍再生含量比例</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核对供应商数据</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C5</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关键原材料与组件信息</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电池组件与关键原材料(CRM)信息</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核对BOM表覆盖度</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C6</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拆解信息</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拆解/移除/更换说明与安全注意事项</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工程文档可提取性</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C7</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安全措施信息</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安全运行条件与防护措施</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核对话书、测试报告</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C8</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电池状态数据(SoH)</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电池状态数据可获取性</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核对BMS读取能力</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C9</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有害物质信息</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镉、铅等有害物质含量信息</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核对检测报告覆盖度</w:t>
            </w:r>
          </w:p>
        </w:tc>
      </w:tr>
      <w:tr>
        <w:trPr>
          <w:cantSplit/>
        </w:trPr>
        <w:tc>
          <w:tcPr>
            <w:tcW w:type="dxa" w:w="9216"/>
            <w:gridSpan w:val="4"/>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D 供应链数据获取（4项）</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D1</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一级供应商清单完整性</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护照数据与尽调的数据源头</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盘点一级供应商清单</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D2</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二级关键供应商识别</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关键原材料冶炼厂/精炼厂与原产国</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供应商问卷溯源</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D3</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供应商数据提供能力</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影响采集周期与交付排期</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抽样测试问卷回复</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D4</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商业机密分级披露机制</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Art.78：区分公开与受限访问</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检查分级审批流程</w:t>
            </w:r>
          </w:p>
        </w:tc>
      </w:tr>
      <w:tr>
        <w:trPr>
          <w:cantSplit/>
        </w:trPr>
        <w:tc>
          <w:tcPr>
            <w:tcW w:type="dxa" w:w="9216"/>
            <w:gridSpan w:val="4"/>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E IT系统与数据载体（4项）</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E1</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QR码方案</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Art.77：电池须附二维码（分阶段实施）</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确认生成/印刷方案</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E2</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数据护照系统对接能力</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Art.77-78：护照数据经欧盟系统存取</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评估IT对接能力</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E3</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内部数据管理系统</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影响数据持续维护效率</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评估工具化程度</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E4</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数据安全与访问控制</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Art.78(4)：防泄露防篡改</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检查权限管理</w:t>
            </w:r>
          </w:p>
        </w:tc>
      </w:tr>
      <w:tr>
        <w:trPr>
          <w:cantSplit/>
        </w:trPr>
        <w:tc>
          <w:tcPr>
            <w:tcW w:type="dxa" w:w="9216"/>
            <w:gridSpan w:val="4"/>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F 管理流程与人员（4项）</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F1</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内部责任人与跨部门小组</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Art.17：生产者总体责任</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确认负责人及协同机制</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F2</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数据维护更新流程</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Art.77(3)：动态数据持续更新义务</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检查更新频率与责任人</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F3</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主管机关查验应对流程</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Art.80：市场监管机构查验配合义务</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检查响应流程与证据留存</w:t>
            </w:r>
          </w:p>
        </w:tc>
      </w:tr>
      <w:tr>
        <w:trPr>
          <w:cantSplit/>
        </w:trPr>
        <w:tc>
          <w:tcPr>
            <w:tcW w:type="dxa" w:w="7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F4</w:t>
            </w:r>
          </w:p>
        </w:tc>
        <w:tc>
          <w:tcPr>
            <w:tcW w:type="dxa" w:w="2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记录保存期限管理</w:t>
            </w:r>
          </w:p>
        </w:tc>
        <w:tc>
          <w:tcPr>
            <w:tcW w:type="dxa" w:w="3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护照数据按法定期限保存</w:t>
            </w:r>
          </w:p>
        </w:tc>
        <w:tc>
          <w:tcPr>
            <w:tcW w:type="dxa" w:w="25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检查档案管理制度</w:t>
            </w:r>
          </w:p>
        </w:tc>
      </w:tr>
    </w:tbl>
    <w:p>
      <w:pPr>
        <w:spacing w:after="80"/>
      </w:pPr>
    </w:p>
    <w:p>
      <w:pPr>
        <w:spacing w:after="110" w:before="0" w:line="300"/>
        <w:jc w:val="left"/>
      </w:pPr>
      <w:r>
        <w:rPr>
          <w:rFonts w:ascii="Times New Roman" w:cs="Times New Roman" w:eastAsia="宋体" w:hAnsi="Times New Roman"/>
          <w:b/>
          <w:bCs/>
          <w:i w:val="false"/>
          <w:iCs w:val="false"/>
          <w:color w:val="2E7D32"/>
          <w:sz w:val="21"/>
          <w:szCs w:val="21"/>
        </w:rPr>
        <w:t xml:space="preserve">您需要配合</w:t>
      </w:r>
    </w:p>
    <w:p>
      <w:pPr>
        <w:pStyle w:val="ListParagraph"/>
        <w:numPr>
          <w:ilvl w:val="0"/>
          <w:numId w:val="10"/>
        </w:numPr>
        <w:spacing w:after="70" w:before="0" w:line="300"/>
      </w:pPr>
      <w:r>
        <w:rPr>
          <w:rFonts w:ascii="Times New Roman" w:cs="Times New Roman" w:eastAsia="宋体" w:hAnsi="Times New Roman"/>
          <w:b w:val="false"/>
          <w:bCs w:val="false"/>
          <w:i w:val="false"/>
          <w:iCs w:val="false"/>
          <w:color w:val="212121"/>
          <w:sz w:val="21"/>
          <w:szCs w:val="21"/>
        </w:rPr>
        <w:t xml:space="preserve">按日程安排各部门访谈（每部门约45-60分钟）</w:t>
      </w:r>
    </w:p>
    <w:p>
      <w:pPr>
        <w:pStyle w:val="ListParagraph"/>
        <w:numPr>
          <w:ilvl w:val="0"/>
          <w:numId w:val="10"/>
        </w:numPr>
        <w:spacing w:after="70" w:before="0" w:line="300"/>
      </w:pPr>
      <w:r>
        <w:rPr>
          <w:rFonts w:ascii="Times New Roman" w:cs="Times New Roman" w:eastAsia="宋体" w:hAnsi="Times New Roman"/>
          <w:b w:val="false"/>
          <w:bCs w:val="false"/>
          <w:i w:val="false"/>
          <w:iCs w:val="false"/>
          <w:color w:val="212121"/>
          <w:sz w:val="21"/>
          <w:szCs w:val="21"/>
        </w:rPr>
        <w:t xml:space="preserve">通过安全通道提交文件证据，开放IT/BMS系统查看权限（可现场演示，不要求交源码）</w:t>
      </w:r>
    </w:p>
    <w:p>
      <w:pPr>
        <w:spacing w:after="110" w:before="0" w:line="300"/>
        <w:jc w:val="left"/>
      </w:pPr>
      <w:r>
        <w:rPr>
          <w:rFonts w:ascii="Times New Roman" w:cs="Times New Roman" w:eastAsia="宋体" w:hAnsi="Times New Roman"/>
          <w:b/>
          <w:bCs/>
          <w:i w:val="false"/>
          <w:iCs w:val="false"/>
          <w:color w:val="2E7D32"/>
          <w:sz w:val="21"/>
          <w:szCs w:val="21"/>
        </w:rPr>
        <w:t xml:space="preserve">输出物：</w:t>
      </w:r>
      <w:r>
        <w:rPr>
          <w:rFonts w:ascii="Times New Roman" w:cs="Times New Roman" w:eastAsia="宋体" w:hAnsi="Times New Roman"/>
          <w:b w:val="false"/>
          <w:bCs w:val="false"/>
          <w:i w:val="false"/>
          <w:iCs w:val="false"/>
          <w:color w:val="212121"/>
          <w:sz w:val="21"/>
          <w:szCs w:val="21"/>
        </w:rPr>
        <w:t xml:space="preserve">《32项核查底稿》（每项含判定结果、差距说明与证据索引）</w:t>
      </w:r>
    </w:p>
    <w:p>
      <w:pPr>
        <w:pStyle w:val="Heading2"/>
        <w:keepNext/>
        <w:spacing w:after="140" w:before="300"/>
      </w:pPr>
      <w:r>
        <w:rPr>
          <w:rFonts w:ascii="Times New Roman" w:cs="Times New Roman" w:eastAsia="黑体" w:hAnsi="Times New Roman"/>
          <w:b/>
          <w:bCs/>
          <w:color w:val="283593"/>
          <w:sz w:val="26"/>
          <w:szCs w:val="26"/>
        </w:rPr>
        <w:t xml:space="preserve">S5 差距分析与分级　|　第10-15天</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将32项核查结果归入红黄绿三级，并完成六维加权评级与根因分析——不只看单项缺没缺，更看整体合规水位和差距结构。</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072"/>
        <w:gridCol w:w="3072"/>
        <w:gridCol w:w="3072"/>
      </w:tblGrid>
      <w:tr>
        <w:trPr>
          <w:cantSplit/>
        </w:trPr>
        <w:tc>
          <w:tcPr>
            <w:tcW w:type="dxa" w:w="3072"/>
            <w:shd w:fill="FFEBEE"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B71C1C"/>
                <w:sz w:val="21"/>
                <w:szCs w:val="21"/>
              </w:rPr>
              <w:t xml:space="preserve">🔴 红灯 · 阻塞项</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无护照数据基础或基础资质缺失，不解决则无法在2027年2月后投放市场，必须最优先处理</w:t>
            </w:r>
          </w:p>
        </w:tc>
        <w:tc>
          <w:tcPr>
            <w:tcW w:type="dxa" w:w="3072"/>
            <w:shd w:fill="FFF3E0"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E65100"/>
                <w:sz w:val="21"/>
                <w:szCs w:val="21"/>
              </w:rPr>
              <w:t xml:space="preserve">🟡 黄灯 · 风险项</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有基础但不全/过时/覆盖不足，影响合规完整性与监管查验结果，应限期补充</w:t>
            </w:r>
          </w:p>
        </w:tc>
        <w:tc>
          <w:tcPr>
            <w:tcW w:type="dxa" w:w="3072"/>
            <w:shd w:fill="E8F5E9"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 绿灯 · 达标项</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已满足法规要求且证据完整，直接进入护照办理材料池，无需重复投入</w:t>
            </w:r>
          </w:p>
        </w:tc>
      </w:tr>
    </w:tbl>
    <w:p>
      <w:pPr>
        <w:spacing w:after="80"/>
      </w:pPr>
    </w:p>
    <w:p>
      <w:pPr>
        <w:pStyle w:val="Heading3"/>
        <w:keepNext/>
        <w:spacing w:after="100" w:before="200"/>
      </w:pPr>
      <w:r>
        <w:rPr>
          <w:rFonts w:ascii="Times New Roman" w:cs="Times New Roman" w:eastAsia="黑体" w:hAnsi="Times New Roman"/>
          <w:b/>
          <w:bCs/>
          <w:color w:val="1A237E"/>
          <w:sz w:val="22"/>
          <w:szCs w:val="22"/>
        </w:rPr>
        <w:t xml:space="preserve">综合评级模型：六维评分 × 加权汇总</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每个维度按“（已满足项×1 + 部分满足项×0.5）÷ 适用项数 ×100”计算维度得分（0-100分，不适用项不计入分母），再按下列权重加权汇总：</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600"/>
        <w:gridCol w:w="1000"/>
        <w:gridCol w:w="4616"/>
      </w:tblGrid>
      <w:tr>
        <w:trPr>
          <w:cantSplit/>
          <w:tblHeader/>
        </w:trPr>
        <w:tc>
          <w:tcPr>
            <w:tcW w:type="dxa" w:w="36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核查维度</w:t>
            </w:r>
          </w:p>
        </w:tc>
        <w:tc>
          <w:tcPr>
            <w:tcW w:type="dxa" w:w="10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权重</w:t>
            </w:r>
          </w:p>
        </w:tc>
        <w:tc>
          <w:tcPr>
            <w:tcW w:type="dxa" w:w="46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权重设定理由</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① 基本合规与身份信息</w:t>
            </w:r>
          </w:p>
        </w:tc>
        <w:tc>
          <w:tcPr>
            <w:tcW w:type="dxa" w:w="1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20%</w:t>
            </w:r>
          </w:p>
        </w:tc>
        <w:tc>
          <w:tcPr>
            <w:tcW w:type="dxa" w:w="4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主体适格与标识体系是护照存在的前提</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② 技术文档与合格评定</w:t>
            </w:r>
          </w:p>
        </w:tc>
        <w:tc>
          <w:tcPr>
            <w:tcW w:type="dxa" w:w="1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20%</w:t>
            </w:r>
          </w:p>
        </w:tc>
        <w:tc>
          <w:tcPr>
            <w:tcW w:type="dxa" w:w="4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CE/DoC/技术文件是市场准入的法定基础</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③ 碳足迹与环境声明</w:t>
            </w:r>
          </w:p>
        </w:tc>
        <w:tc>
          <w:tcPr>
            <w:tcW w:type="dxa" w:w="1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15%</w:t>
            </w:r>
          </w:p>
        </w:tc>
        <w:tc>
          <w:tcPr>
            <w:tcW w:type="dxa" w:w="4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分阶段强制，时间敏感度高</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④ 材料与供应链</w:t>
            </w:r>
          </w:p>
        </w:tc>
        <w:tc>
          <w:tcPr>
            <w:tcW w:type="dxa" w:w="1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20%</w:t>
            </w:r>
          </w:p>
        </w:tc>
        <w:tc>
          <w:tcPr>
            <w:tcW w:type="dxa" w:w="4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数据握于上游，是最大不确定性来源</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⑤ 性能与耐久性</w:t>
            </w:r>
          </w:p>
        </w:tc>
        <w:tc>
          <w:tcPr>
            <w:tcW w:type="dxa" w:w="1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15%</w:t>
            </w:r>
          </w:p>
        </w:tc>
        <w:tc>
          <w:tcPr>
            <w:tcW w:type="dxa" w:w="4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研发数据基础通常较好，核验为主</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⑥ 数据系统与动态数据</w:t>
            </w:r>
          </w:p>
        </w:tc>
        <w:tc>
          <w:tcPr>
            <w:tcW w:type="dxa" w:w="1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10%</w:t>
            </w:r>
          </w:p>
        </w:tc>
        <w:tc>
          <w:tcPr>
            <w:tcW w:type="dxa" w:w="4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可在上线前集中建设，但影响长期维护</w:t>
            </w:r>
          </w:p>
        </w:tc>
      </w:tr>
    </w:tbl>
    <w:p>
      <w:pPr>
        <w:spacing w:after="80"/>
      </w:pP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000"/>
        <w:gridCol w:w="1600"/>
        <w:gridCol w:w="5616"/>
      </w:tblGrid>
      <w:tr>
        <w:trPr>
          <w:cantSplit/>
          <w:tblHeader/>
        </w:trPr>
        <w:tc>
          <w:tcPr>
            <w:tcW w:type="dxa" w:w="20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综合评级</w:t>
            </w:r>
          </w:p>
        </w:tc>
        <w:tc>
          <w:tcPr>
            <w:tcW w:type="dxa" w:w="16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总分区间</w:t>
            </w:r>
          </w:p>
        </w:tc>
        <w:tc>
          <w:tcPr>
            <w:tcW w:type="dxa" w:w="56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含义与建议</w:t>
            </w:r>
          </w:p>
        </w:tc>
      </w:tr>
      <w:tr>
        <w:trPr>
          <w:cantSplit/>
        </w:trPr>
        <w:tc>
          <w:tcPr>
            <w:tcW w:type="dxa" w:w="2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E7D32"/>
                <w:sz w:val="21"/>
                <w:szCs w:val="21"/>
              </w:rPr>
              <w:t xml:space="preserve">🟢 绿色</w:t>
            </w:r>
          </w:p>
        </w:tc>
        <w:tc>
          <w:tcPr>
            <w:tcW w:type="dxa" w:w="1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≥80分</w:t>
            </w:r>
          </w:p>
        </w:tc>
        <w:tc>
          <w:tcPr>
            <w:tcW w:type="dxa" w:w="5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基础扎实，可快速进入注册上线准备，仅需补齐零星项</w:t>
            </w:r>
          </w:p>
        </w:tc>
      </w:tr>
      <w:tr>
        <w:trPr>
          <w:cantSplit/>
        </w:trPr>
        <w:tc>
          <w:tcPr>
            <w:tcW w:type="dxa" w:w="2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E65100"/>
                <w:sz w:val="21"/>
                <w:szCs w:val="21"/>
              </w:rPr>
              <w:t xml:space="preserve">🟡 黄色</w:t>
            </w:r>
          </w:p>
        </w:tc>
        <w:tc>
          <w:tcPr>
            <w:tcW w:type="dxa" w:w="1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50-79分</w:t>
            </w:r>
          </w:p>
        </w:tc>
        <w:tc>
          <w:tcPr>
            <w:tcW w:type="dxa" w:w="5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存在系统性差距，需按路线图在3-6个月内完成建设</w:t>
            </w:r>
          </w:p>
        </w:tc>
      </w:tr>
      <w:tr>
        <w:trPr>
          <w:cantSplit/>
        </w:trPr>
        <w:tc>
          <w:tcPr>
            <w:tcW w:type="dxa" w:w="2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B71C1C"/>
                <w:sz w:val="21"/>
                <w:szCs w:val="21"/>
              </w:rPr>
              <w:t xml:space="preserve">🔴 红色</w:t>
            </w:r>
          </w:p>
        </w:tc>
        <w:tc>
          <w:tcPr>
            <w:tcW w:type="dxa" w:w="1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&lt;50分</w:t>
            </w:r>
          </w:p>
        </w:tc>
        <w:tc>
          <w:tcPr>
            <w:tcW w:type="dxa" w:w="56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差距涉及多个基础环节，需立即启动、分阶段重建并预留缓冲</w:t>
            </w:r>
          </w:p>
        </w:tc>
      </w:tr>
    </w:tbl>
    <w:p>
      <w:pPr>
        <w:spacing w:after="80"/>
      </w:pPr>
    </w:p>
    <w:p>
      <w:pPr>
        <w:spacing w:after="120" w:before="0" w:line="300"/>
        <w:jc w:val="left"/>
      </w:pPr>
      <w:r>
        <w:rPr>
          <w:rFonts w:ascii="Times New Roman" w:cs="Times New Roman" w:eastAsia="宋体" w:hAnsi="Times New Roman"/>
          <w:b/>
          <w:bCs/>
          <w:i w:val="false"/>
          <w:iCs w:val="false"/>
          <w:color w:val="212121"/>
          <w:sz w:val="21"/>
          <w:szCs w:val="21"/>
        </w:rPr>
        <w:t xml:space="preserve">六维度评分表（替代雷达图呈现）：</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600"/>
        <w:gridCol w:w="1404"/>
        <w:gridCol w:w="1404"/>
        <w:gridCol w:w="1404"/>
        <w:gridCol w:w="1404"/>
      </w:tblGrid>
      <w:tr>
        <w:trPr>
          <w:cantSplit/>
          <w:tblHeader/>
        </w:trPr>
        <w:tc>
          <w:tcPr>
            <w:tcW w:type="dxa" w:w="36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核查维度</w:t>
            </w:r>
          </w:p>
        </w:tc>
        <w:tc>
          <w:tcPr>
            <w:tcW w:type="dxa" w:w="1404"/>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权重</w:t>
            </w:r>
          </w:p>
        </w:tc>
        <w:tc>
          <w:tcPr>
            <w:tcW w:type="dxa" w:w="1404"/>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维度得分(0-100)</w:t>
            </w:r>
          </w:p>
        </w:tc>
        <w:tc>
          <w:tcPr>
            <w:tcW w:type="dxa" w:w="1404"/>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加权得分</w:t>
            </w:r>
          </w:p>
        </w:tc>
        <w:tc>
          <w:tcPr>
            <w:tcW w:type="dxa" w:w="1404"/>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评级</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① 基本合规与身份信息</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20%</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② 技术文档与合格评定</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20%</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③ 碳足迹与环境声明</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15%</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④ 材料与供应链</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20%</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⑤ 性能与耐久性</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15%</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r>
      <w:tr>
        <w:trPr>
          <w:cantSplit/>
        </w:trPr>
        <w:tc>
          <w:tcPr>
            <w:tcW w:type="dxa" w:w="36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⑥ 数据系统与动态数据</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10%</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c>
          <w:tcPr>
            <w:tcW w:type="dxa" w:w="1404"/>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评估后填写</w:t>
            </w:r>
          </w:p>
        </w:tc>
      </w:tr>
    </w:tbl>
    <w:p>
      <w:pPr>
        <w:spacing w:after="80"/>
      </w:pPr>
    </w:p>
    <w:p>
      <w:pPr>
        <w:spacing w:after="160" w:before="0" w:line="300"/>
        <w:jc w:val="left"/>
      </w:pPr>
      <w:r>
        <w:rPr>
          <w:rFonts w:ascii="Times New Roman" w:cs="Times New Roman" w:eastAsia="宋体" w:hAnsi="Times New Roman"/>
          <w:b w:val="false"/>
          <w:bCs w:val="false"/>
          <w:i w:val="false"/>
          <w:iCs w:val="false"/>
          <w:color w:val="212121"/>
          <w:sz w:val="21"/>
          <w:szCs w:val="21"/>
        </w:rPr>
        <w:t xml:space="preserve">注：HTML版雷达图示意数据为80/55/30/45/65/40；正式报告以贵司真实评分生成并附评分明细，上表用于逐项呈现各维度得分与加权结果。</w:t>
      </w:r>
    </w:p>
    <w:p>
      <w:pPr>
        <w:pStyle w:val="Heading3"/>
        <w:keepNext/>
        <w:spacing w:after="100" w:before="200"/>
      </w:pPr>
      <w:r>
        <w:rPr>
          <w:rFonts w:ascii="Times New Roman" w:cs="Times New Roman" w:eastAsia="黑体" w:hAnsi="Times New Roman"/>
          <w:b/>
          <w:bCs/>
          <w:color w:val="1A237E"/>
          <w:sz w:val="22"/>
          <w:szCs w:val="22"/>
        </w:rPr>
        <w:t xml:space="preserve">根因分析方法：每个差距项追溯到根因</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1800"/>
        <w:gridCol w:w="4208"/>
        <w:gridCol w:w="3208"/>
      </w:tblGrid>
      <w:tr>
        <w:trPr>
          <w:cantSplit/>
          <w:tblHeader/>
        </w:trPr>
        <w:tc>
          <w:tcPr>
            <w:tcW w:type="dxa" w:w="18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根因类型</w:t>
            </w:r>
          </w:p>
        </w:tc>
        <w:tc>
          <w:tcPr>
            <w:tcW w:type="dxa" w:w="4208"/>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典型表现</w:t>
            </w:r>
          </w:p>
        </w:tc>
        <w:tc>
          <w:tcPr>
            <w:tcW w:type="dxa" w:w="3208"/>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诊断问题</w:t>
            </w:r>
          </w:p>
        </w:tc>
      </w:tr>
      <w:tr>
        <w:trPr>
          <w:cantSplit/>
        </w:trPr>
        <w:tc>
          <w:tcPr>
            <w:tcW w:type="dxa" w:w="1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数据缺失</w:t>
            </w:r>
          </w:p>
        </w:tc>
        <w:tc>
          <w:tcPr>
            <w:tcW w:type="dxa" w:w="42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有数据但散落在个人电脑未收集 / 业务中根本未产生该数据（如从未测过某项参数）</w:t>
            </w:r>
          </w:p>
        </w:tc>
        <w:tc>
          <w:tcPr>
            <w:tcW w:type="dxa" w:w="32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数据是否曾产生？若产生过，存在哪里、谁能调取？</w:t>
            </w:r>
          </w:p>
        </w:tc>
      </w:tr>
      <w:tr>
        <w:trPr>
          <w:cantSplit/>
        </w:trPr>
        <w:tc>
          <w:tcPr>
            <w:tcW w:type="dxa" w:w="1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流程缺失</w:t>
            </w:r>
          </w:p>
        </w:tc>
        <w:tc>
          <w:tcPr>
            <w:tcW w:type="dxa" w:w="42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没有数据管理流程、跨部门责任不清、数据更新无制度</w:t>
            </w:r>
          </w:p>
        </w:tc>
        <w:tc>
          <w:tcPr>
            <w:tcW w:type="dxa" w:w="32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有没有书面流程规定谁产出、谁审核、多久更新？</w:t>
            </w:r>
          </w:p>
        </w:tc>
      </w:tr>
      <w:tr>
        <w:trPr>
          <w:cantSplit/>
        </w:trPr>
        <w:tc>
          <w:tcPr>
            <w:tcW w:type="dxa" w:w="1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技术缺失</w:t>
            </w:r>
          </w:p>
        </w:tc>
        <w:tc>
          <w:tcPr>
            <w:tcW w:type="dxa" w:w="42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检测设备/方法不支持、IT系统无相应字段或接口</w:t>
            </w:r>
          </w:p>
        </w:tc>
        <w:tc>
          <w:tcPr>
            <w:tcW w:type="dxa" w:w="32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现有设备与系统能否产出/承载该数据？改造还是新建？</w:t>
            </w:r>
          </w:p>
        </w:tc>
      </w:tr>
      <w:tr>
        <w:trPr>
          <w:cantSplit/>
        </w:trPr>
        <w:tc>
          <w:tcPr>
            <w:tcW w:type="dxa" w:w="18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供应商缺失</w:t>
            </w:r>
          </w:p>
        </w:tc>
        <w:tc>
          <w:tcPr>
            <w:tcW w:type="dxa" w:w="42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上游不提供数据 / 供应商自己也没有 / 需更换具备数据能力的供应商</w:t>
            </w:r>
          </w:p>
        </w:tc>
        <w:tc>
          <w:tcPr>
            <w:tcW w:type="dxa" w:w="3208"/>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是否实测过供应商配合度？能否通过合同条款约束？</w:t>
            </w:r>
          </w:p>
        </w:tc>
      </w:tr>
    </w:tbl>
    <w:p>
      <w:pPr>
        <w:spacing w:after="80"/>
      </w:pPr>
    </w:p>
    <w:p>
      <w:pPr>
        <w:spacing w:after="110" w:before="0" w:line="300"/>
        <w:jc w:val="left"/>
      </w:pPr>
      <w:r>
        <w:rPr>
          <w:rFonts w:ascii="Times New Roman" w:cs="Times New Roman" w:eastAsia="宋体" w:hAnsi="Times New Roman"/>
          <w:b/>
          <w:bCs/>
          <w:i w:val="false"/>
          <w:iCs w:val="false"/>
          <w:color w:val="2E7D32"/>
          <w:sz w:val="21"/>
          <w:szCs w:val="21"/>
        </w:rPr>
        <w:t xml:space="preserve">输出物：</w:t>
      </w:r>
      <w:r>
        <w:rPr>
          <w:rFonts w:ascii="Times New Roman" w:cs="Times New Roman" w:eastAsia="宋体" w:hAnsi="Times New Roman"/>
          <w:b w:val="false"/>
          <w:bCs w:val="false"/>
          <w:i w:val="false"/>
          <w:iCs w:val="false"/>
          <w:color w:val="212121"/>
          <w:sz w:val="21"/>
          <w:szCs w:val="21"/>
        </w:rPr>
        <w:t xml:space="preserve">《差距分级总表》、六维评分明细（雷达图数据）、《根因分析表》</w:t>
      </w:r>
    </w:p>
    <w:p>
      <w:pPr>
        <w:pStyle w:val="Heading2"/>
        <w:keepNext/>
        <w:spacing w:after="140" w:before="300"/>
      </w:pPr>
      <w:r>
        <w:rPr>
          <w:rFonts w:ascii="Times New Roman" w:cs="Times New Roman" w:eastAsia="黑体" w:hAnsi="Times New Roman"/>
          <w:b/>
          <w:bCs/>
          <w:color w:val="283593"/>
          <w:sz w:val="26"/>
          <w:szCs w:val="26"/>
        </w:rPr>
        <w:t xml:space="preserve">S6 报告编制与交付　|　第15-20天</w:t>
      </w:r>
    </w:p>
    <w:p>
      <w:pPr>
        <w:spacing w:after="110" w:before="0" w:line="300"/>
        <w:jc w:val="left"/>
      </w:pPr>
      <w:r>
        <w:rPr>
          <w:rFonts w:ascii="Times New Roman" w:cs="Times New Roman" w:eastAsia="宋体" w:hAnsi="Times New Roman"/>
          <w:b/>
          <w:bCs/>
          <w:i w:val="false"/>
          <w:iCs w:val="false"/>
          <w:color w:val="2E7D32"/>
          <w:sz w:val="21"/>
          <w:szCs w:val="21"/>
        </w:rPr>
        <w:t xml:space="preserve">我们做什么</w:t>
      </w:r>
    </w:p>
    <w:p>
      <w:pPr>
        <w:pStyle w:val="ListParagraph"/>
        <w:numPr>
          <w:ilvl w:val="0"/>
          <w:numId w:val="11"/>
        </w:numPr>
        <w:spacing w:after="70" w:before="0" w:line="300"/>
      </w:pPr>
      <w:r>
        <w:rPr>
          <w:rFonts w:ascii="Times New Roman" w:cs="Times New Roman" w:eastAsia="宋体" w:hAnsi="Times New Roman"/>
          <w:b w:val="false"/>
          <w:bCs w:val="false"/>
          <w:i w:val="false"/>
          <w:iCs w:val="false"/>
          <w:color w:val="212121"/>
          <w:sz w:val="21"/>
          <w:szCs w:val="21"/>
        </w:rPr>
        <w:t xml:space="preserve">基于核查底稿与分级结果撰写正式报告，所有结论均追溯到核查清单对应项，不出现无证据结论</w:t>
      </w:r>
    </w:p>
    <w:p>
      <w:pPr>
        <w:pStyle w:val="ListParagraph"/>
        <w:numPr>
          <w:ilvl w:val="0"/>
          <w:numId w:val="11"/>
        </w:numPr>
        <w:spacing w:after="70" w:before="0" w:line="300"/>
      </w:pPr>
      <w:r>
        <w:rPr>
          <w:rFonts w:ascii="Times New Roman" w:cs="Times New Roman" w:eastAsia="宋体" w:hAnsi="Times New Roman"/>
          <w:b/>
          <w:bCs/>
          <w:i w:val="false"/>
          <w:iCs w:val="false"/>
          <w:color w:val="212121"/>
          <w:sz w:val="21"/>
          <w:szCs w:val="21"/>
        </w:rPr>
        <w:t xml:space="preserve">双人审核：</w:t>
      </w:r>
      <w:r>
        <w:rPr>
          <w:rFonts w:ascii="Times New Roman" w:cs="Times New Roman" w:eastAsia="宋体" w:hAnsi="Times New Roman"/>
          <w:b w:val="false"/>
          <w:bCs w:val="false"/>
          <w:i w:val="false"/>
          <w:iCs w:val="false"/>
          <w:color w:val="212121"/>
          <w:sz w:val="21"/>
          <w:szCs w:val="21"/>
        </w:rPr>
        <w:t xml:space="preserve">项目经理初审 → 法规专家终审，审核记录留存</w:t>
      </w:r>
    </w:p>
    <w:p>
      <w:pPr>
        <w:pStyle w:val="ListParagraph"/>
        <w:numPr>
          <w:ilvl w:val="0"/>
          <w:numId w:val="11"/>
        </w:numPr>
        <w:spacing w:after="70" w:before="0" w:line="300"/>
      </w:pPr>
      <w:r>
        <w:rPr>
          <w:rFonts w:ascii="Times New Roman" w:cs="Times New Roman" w:eastAsia="宋体" w:hAnsi="Times New Roman"/>
          <w:b w:val="false"/>
          <w:bCs w:val="false"/>
          <w:i w:val="false"/>
          <w:iCs w:val="false"/>
          <w:color w:val="212121"/>
          <w:sz w:val="21"/>
          <w:szCs w:val="21"/>
        </w:rPr>
        <w:t xml:space="preserve">制作汇报材料（不超过15页），按“先达标项、再差距项、后路线图”组织</w:t>
      </w:r>
    </w:p>
    <w:p>
      <w:pPr>
        <w:pStyle w:val="Heading3"/>
        <w:keepNext/>
        <w:spacing w:after="100" w:before="200"/>
      </w:pPr>
      <w:r>
        <w:rPr>
          <w:rFonts w:ascii="Times New Roman" w:cs="Times New Roman" w:eastAsia="黑体" w:hAnsi="Times New Roman"/>
          <w:b/>
          <w:bCs/>
          <w:color w:val="1A237E"/>
          <w:sz w:val="22"/>
          <w:szCs w:val="22"/>
        </w:rPr>
        <w:t xml:space="preserve">双人审核各审什么</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1400"/>
        <w:gridCol w:w="2000"/>
        <w:gridCol w:w="5816"/>
      </w:tblGrid>
      <w:tr>
        <w:trPr>
          <w:cantSplit/>
          <w:tblHeader/>
        </w:trPr>
        <w:tc>
          <w:tcPr>
            <w:tcW w:type="dxa" w:w="14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环节</w:t>
            </w:r>
          </w:p>
        </w:tc>
        <w:tc>
          <w:tcPr>
            <w:tcW w:type="dxa" w:w="20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审核人</w:t>
            </w:r>
          </w:p>
        </w:tc>
        <w:tc>
          <w:tcPr>
            <w:tcW w:type="dxa" w:w="58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审核重点</w:t>
            </w:r>
          </w:p>
        </w:tc>
      </w:tr>
      <w:tr>
        <w:trPr>
          <w:cantSplit/>
        </w:trPr>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初审</w:t>
            </w:r>
          </w:p>
        </w:tc>
        <w:tc>
          <w:tcPr>
            <w:tcW w:type="dxa" w:w="2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项目经理</w:t>
            </w:r>
          </w:p>
        </w:tc>
        <w:tc>
          <w:tcPr>
            <w:tcW w:type="dxa" w:w="58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核查工作表与报告结论的一致性、证据完整性、评级与计算准确性</w:t>
            </w:r>
          </w:p>
        </w:tc>
      </w:tr>
      <w:tr>
        <w:trPr>
          <w:cantSplit/>
        </w:trPr>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终审</w:t>
            </w:r>
          </w:p>
        </w:tc>
        <w:tc>
          <w:tcPr>
            <w:tcW w:type="dxa" w:w="2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法规专家</w:t>
            </w:r>
          </w:p>
        </w:tc>
        <w:tc>
          <w:tcPr>
            <w:tcW w:type="dxa" w:w="58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法规适用性判定、综合评级合理性、整改路线可行性与日期准确性</w:t>
            </w:r>
          </w:p>
        </w:tc>
      </w:tr>
    </w:tbl>
    <w:p>
      <w:pPr>
        <w:spacing w:after="80"/>
      </w:pPr>
    </w:p>
    <w:p>
      <w:pPr>
        <w:spacing w:after="110" w:before="0" w:line="300"/>
        <w:jc w:val="left"/>
      </w:pPr>
      <w:r>
        <w:rPr>
          <w:rFonts w:ascii="Times New Roman" w:cs="Times New Roman" w:eastAsia="宋体" w:hAnsi="Times New Roman"/>
          <w:b/>
          <w:bCs/>
          <w:i w:val="false"/>
          <w:iCs w:val="false"/>
          <w:color w:val="2E7D32"/>
          <w:sz w:val="21"/>
          <w:szCs w:val="21"/>
        </w:rPr>
        <w:t xml:space="preserve">输出物：</w:t>
      </w:r>
      <w:r>
        <w:rPr>
          <w:rFonts w:ascii="Times New Roman" w:cs="Times New Roman" w:eastAsia="宋体" w:hAnsi="Times New Roman"/>
          <w:b w:val="false"/>
          <w:bCs w:val="false"/>
          <w:i w:val="false"/>
          <w:iCs w:val="false"/>
          <w:color w:val="212121"/>
          <w:sz w:val="21"/>
          <w:szCs w:val="21"/>
        </w:rPr>
        <w:t xml:space="preserve">《差距评估报告》（PDF + Word双格式，统一报告编号）、汇报PPT</w:t>
      </w:r>
    </w:p>
    <w:p>
      <w:pPr>
        <w:pStyle w:val="Heading3"/>
        <w:keepNext/>
        <w:spacing w:after="100" w:before="200"/>
      </w:pPr>
      <w:r>
        <w:rPr>
          <w:rFonts w:ascii="Times New Roman" w:cs="Times New Roman" w:eastAsia="黑体" w:hAnsi="Times New Roman"/>
          <w:b/>
          <w:bCs/>
          <w:color w:val="1A237E"/>
          <w:sz w:val="22"/>
          <w:szCs w:val="22"/>
        </w:rPr>
        <w:t xml:space="preserve">汇报形式（按服务档位）</w:t>
      </w:r>
    </w:p>
    <w:p>
      <w:pPr>
        <w:pStyle w:val="ListParagraph"/>
        <w:numPr>
          <w:ilvl w:val="0"/>
          <w:numId w:val="12"/>
        </w:numPr>
        <w:spacing w:after="70" w:before="0" w:line="300"/>
      </w:pPr>
      <w:r>
        <w:rPr>
          <w:rFonts w:ascii="Times New Roman" w:cs="Times New Roman" w:eastAsia="宋体" w:hAnsi="Times New Roman"/>
          <w:b/>
          <w:bCs/>
          <w:i w:val="false"/>
          <w:iCs w:val="false"/>
          <w:color w:val="212121"/>
          <w:sz w:val="21"/>
          <w:szCs w:val="21"/>
        </w:rPr>
        <w:t xml:space="preserve">标准/基础版：</w:t>
      </w:r>
      <w:r>
        <w:rPr>
          <w:rFonts w:ascii="Times New Roman" w:cs="Times New Roman" w:eastAsia="宋体" w:hAnsi="Times New Roman"/>
          <w:b w:val="false"/>
          <w:bCs w:val="false"/>
          <w:i w:val="false"/>
          <w:iCs w:val="false"/>
          <w:color w:val="212121"/>
          <w:sz w:val="21"/>
          <w:szCs w:val="21"/>
        </w:rPr>
        <w:t xml:space="preserve">远程会议汇报（60-90分钟），逐项解读结论并现场答疑</w:t>
      </w:r>
    </w:p>
    <w:p>
      <w:pPr>
        <w:pStyle w:val="ListParagraph"/>
        <w:numPr>
          <w:ilvl w:val="0"/>
          <w:numId w:val="12"/>
        </w:numPr>
        <w:spacing w:after="70" w:before="0" w:line="300"/>
      </w:pPr>
      <w:r>
        <w:rPr>
          <w:rFonts w:ascii="Times New Roman" w:cs="Times New Roman" w:eastAsia="宋体" w:hAnsi="Times New Roman"/>
          <w:b/>
          <w:bCs/>
          <w:i w:val="false"/>
          <w:iCs w:val="false"/>
          <w:color w:val="212121"/>
          <w:sz w:val="21"/>
          <w:szCs w:val="21"/>
        </w:rPr>
        <w:t xml:space="preserve">旗舰版：</w:t>
      </w:r>
      <w:r>
        <w:rPr>
          <w:rFonts w:ascii="Times New Roman" w:cs="Times New Roman" w:eastAsia="宋体" w:hAnsi="Times New Roman"/>
          <w:b w:val="false"/>
          <w:bCs w:val="false"/>
          <w:i w:val="false"/>
          <w:iCs w:val="false"/>
          <w:color w:val="212121"/>
          <w:sz w:val="21"/>
          <w:szCs w:val="21"/>
        </w:rPr>
        <w:t xml:space="preserve">现场汇报（半天），含整改工作坊：与贵司团队共同确认优先级、责任分工与时间表</w:t>
      </w:r>
    </w:p>
    <w:p>
      <w:pPr>
        <w:pStyle w:val="Heading2"/>
        <w:keepNext/>
        <w:spacing w:after="140" w:before="300"/>
      </w:pPr>
      <w:r>
        <w:rPr>
          <w:rFonts w:ascii="Times New Roman" w:cs="Times New Roman" w:eastAsia="黑体" w:hAnsi="Times New Roman"/>
          <w:b/>
          <w:bCs/>
          <w:color w:val="283593"/>
          <w:sz w:val="26"/>
          <w:szCs w:val="26"/>
        </w:rPr>
        <w:t xml:space="preserve">S7 后续衔接　|　第20-30天</w:t>
      </w:r>
    </w:p>
    <w:p>
      <w:pPr>
        <w:spacing w:after="110" w:before="0" w:line="300"/>
        <w:jc w:val="left"/>
      </w:pPr>
      <w:r>
        <w:rPr>
          <w:rFonts w:ascii="Times New Roman" w:cs="Times New Roman" w:eastAsia="宋体" w:hAnsi="Times New Roman"/>
          <w:b/>
          <w:bCs/>
          <w:i w:val="false"/>
          <w:iCs w:val="false"/>
          <w:color w:val="2E7D32"/>
          <w:sz w:val="21"/>
          <w:szCs w:val="21"/>
        </w:rPr>
        <w:t xml:space="preserve">我们做什么</w:t>
      </w:r>
    </w:p>
    <w:p>
      <w:pPr>
        <w:pStyle w:val="ListParagraph"/>
        <w:numPr>
          <w:ilvl w:val="0"/>
          <w:numId w:val="13"/>
        </w:numPr>
        <w:spacing w:after="70" w:before="0" w:line="300"/>
      </w:pPr>
      <w:r>
        <w:rPr>
          <w:rFonts w:ascii="Times New Roman" w:cs="Times New Roman" w:eastAsia="宋体" w:hAnsi="Times New Roman"/>
          <w:b/>
          <w:bCs/>
          <w:i w:val="false"/>
          <w:iCs w:val="false"/>
          <w:color w:val="212121"/>
          <w:sz w:val="21"/>
          <w:szCs w:val="21"/>
        </w:rPr>
        <w:t xml:space="preserve">报告答疑：</w:t>
      </w:r>
      <w:r>
        <w:rPr>
          <w:rFonts w:ascii="Times New Roman" w:cs="Times New Roman" w:eastAsia="宋体" w:hAnsi="Times New Roman"/>
          <w:b w:val="false"/>
          <w:bCs w:val="false"/>
          <w:i w:val="false"/>
          <w:iCs w:val="false"/>
          <w:color w:val="212121"/>
          <w:sz w:val="21"/>
          <w:szCs w:val="21"/>
        </w:rPr>
        <w:t xml:space="preserve">书面答疑 + 1次答疑会议，确保贵司管理层与执行层都理解结论</w:t>
      </w:r>
    </w:p>
    <w:p>
      <w:pPr>
        <w:pStyle w:val="ListParagraph"/>
        <w:numPr>
          <w:ilvl w:val="0"/>
          <w:numId w:val="13"/>
        </w:numPr>
        <w:spacing w:after="70" w:before="0" w:line="300"/>
      </w:pPr>
      <w:r>
        <w:rPr>
          <w:rFonts w:ascii="Times New Roman" w:cs="Times New Roman" w:eastAsia="宋体" w:hAnsi="Times New Roman"/>
          <w:b/>
          <w:bCs/>
          <w:i w:val="false"/>
          <w:iCs w:val="false"/>
          <w:color w:val="212121"/>
          <w:sz w:val="21"/>
          <w:szCs w:val="21"/>
        </w:rPr>
        <w:t xml:space="preserve">数据更新：</w:t>
      </w:r>
      <w:r>
        <w:rPr>
          <w:rFonts w:ascii="Times New Roman" w:cs="Times New Roman" w:eastAsia="宋体" w:hAnsi="Times New Roman"/>
          <w:b w:val="false"/>
          <w:bCs w:val="false"/>
          <w:i w:val="false"/>
          <w:iCs w:val="false"/>
          <w:color w:val="212121"/>
          <w:sz w:val="21"/>
          <w:szCs w:val="21"/>
        </w:rPr>
        <w:t xml:space="preserve">标准版30天内、旗舰版90天内，因补充资料或法规细则更新导致的结论变化免费更新报告</w:t>
      </w:r>
    </w:p>
    <w:p>
      <w:pPr>
        <w:pStyle w:val="ListParagraph"/>
        <w:numPr>
          <w:ilvl w:val="0"/>
          <w:numId w:val="13"/>
        </w:numPr>
        <w:spacing w:after="70" w:before="0" w:line="300"/>
      </w:pPr>
      <w:r>
        <w:rPr>
          <w:rFonts w:ascii="Times New Roman" w:cs="Times New Roman" w:eastAsia="宋体" w:hAnsi="Times New Roman"/>
          <w:b/>
          <w:bCs/>
          <w:i w:val="false"/>
          <w:iCs w:val="false"/>
          <w:color w:val="212121"/>
          <w:sz w:val="21"/>
          <w:szCs w:val="21"/>
        </w:rPr>
        <w:t xml:space="preserve">整改方案细化：</w:t>
      </w:r>
      <w:r>
        <w:rPr>
          <w:rFonts w:ascii="Times New Roman" w:cs="Times New Roman" w:eastAsia="宋体" w:hAnsi="Times New Roman"/>
          <w:b w:val="false"/>
          <w:bCs w:val="false"/>
          <w:i w:val="false"/>
          <w:iCs w:val="false"/>
          <w:color w:val="212121"/>
          <w:sz w:val="21"/>
          <w:szCs w:val="21"/>
        </w:rPr>
        <w:t xml:space="preserve">依据报告制定服务②（数据建设）的具体方案：数据手册目录、系统需求清单、供应商问卷与推进计划</w:t>
      </w:r>
    </w:p>
    <w:p>
      <w:pPr>
        <w:spacing w:after="110" w:before="0" w:line="300"/>
        <w:jc w:val="left"/>
      </w:pPr>
      <w:r>
        <w:rPr>
          <w:rFonts w:ascii="Times New Roman" w:cs="Times New Roman" w:eastAsia="宋体" w:hAnsi="Times New Roman"/>
          <w:b/>
          <w:bCs/>
          <w:i w:val="false"/>
          <w:iCs w:val="false"/>
          <w:color w:val="2E7D32"/>
          <w:sz w:val="21"/>
          <w:szCs w:val="21"/>
        </w:rPr>
        <w:t xml:space="preserve">输出物：</w:t>
      </w:r>
      <w:r>
        <w:rPr>
          <w:rFonts w:ascii="Times New Roman" w:cs="Times New Roman" w:eastAsia="宋体" w:hAnsi="Times New Roman"/>
          <w:b w:val="false"/>
          <w:bCs w:val="false"/>
          <w:i w:val="false"/>
          <w:iCs w:val="false"/>
          <w:color w:val="212121"/>
          <w:sz w:val="21"/>
          <w:szCs w:val="21"/>
        </w:rPr>
        <w:t xml:space="preserve">《答疑记录》、《下一步服务建议书》、更新版报告（如触发更新）</w:t>
      </w:r>
    </w:p>
    <w:tbl>
      <w:tblPr>
        <w:tblW w:type="dxa" w:w="9216"/>
        <w:tblBorders>
          <w:top w:val="none" w:color="FFFFFF" w:sz="0"/>
          <w:left w:val="single" w:color="0D47A1" w:sz="18"/>
          <w:bottom w:val="none" w:color="FFFFFF" w:sz="0"/>
          <w:right w:val="none" w:color="FFFFFF" w:sz="0"/>
          <w:insideH w:val="none" w:color="FFFFFF" w:sz="0"/>
          <w:insideV w:val="none" w:color="FFFFFF" w:sz="0"/>
        </w:tblBorders>
      </w:tblPr>
      <w:tblGrid>
        <w:gridCol w:w="9216"/>
      </w:tblGrid>
      <w:tr>
        <w:tc>
          <w:tcPr>
            <w:tcW w:type="dxa" w:w="9216"/>
            <w:shd w:fill="E3F2FD"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0D47A1"/>
                <w:sz w:val="22"/>
                <w:szCs w:val="22"/>
              </w:rPr>
              <w:t xml:space="preserve">📌 后续链路</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① 差距评估（本服务）→ ② 数据建设（数据手册与字段落地）→ ③ 供应商辅导（数据采集SOP与问卷推进）→ ④ 注册上线（护照数据提交）→ 年度合规托管。可整体委托，也可按阶段分别推进；已付评估费在签约后续服务时按约定抵扣。</w:t>
            </w:r>
          </w:p>
        </w:tc>
      </w:tr>
    </w:tbl>
    <w:p>
      <w:pPr>
        <w:spacing w:after="120" w:before="0"/>
      </w:pP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第四部分 您会收到什么</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五项正式交付物，覆盖诊断结论、明细底稿和行动计划，均可直接用于内部决策汇报与后续招标/立项。</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1843"/>
        <w:gridCol w:w="1843"/>
        <w:gridCol w:w="1843"/>
        <w:gridCol w:w="1844"/>
        <w:gridCol w:w="1843"/>
      </w:tblGrid>
      <w:tr>
        <w:trPr>
          <w:cantSplit/>
        </w:trPr>
        <w:tc>
          <w:tcPr>
            <w:tcW w:type="dxa" w:w="1843"/>
            <w:shd w:fill="F5F6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01</w:t>
            </w:r>
          </w:p>
          <w:p>
            <w:pPr>
              <w:spacing w:after="40" w:before="0" w:line="300"/>
              <w:jc w:val="left"/>
            </w:pPr>
            <w:r>
              <w:rPr>
                <w:rFonts w:ascii="Times New Roman" w:cs="Times New Roman" w:eastAsia="宋体" w:hAnsi="Times New Roman"/>
                <w:b/>
                <w:bCs/>
                <w:i w:val="false"/>
                <w:iCs w:val="false"/>
                <w:color w:val="212121"/>
                <w:sz w:val="21"/>
                <w:szCs w:val="21"/>
              </w:rPr>
              <w:t xml:space="preserve">差距评估报告</w:t>
            </w:r>
          </w:p>
          <w:p>
            <w:pPr>
              <w:spacing w:after="40" w:before="0" w:line="300"/>
              <w:jc w:val="left"/>
            </w:pPr>
            <w:r>
              <w:rPr>
                <w:rFonts w:ascii="Times New Roman" w:cs="Times New Roman" w:eastAsia="宋体" w:hAnsi="Times New Roman"/>
                <w:b w:val="false"/>
                <w:bCs w:val="false"/>
                <w:i/>
                <w:iCs/>
                <w:color w:val="78909C"/>
                <w:sz w:val="21"/>
                <w:szCs w:val="21"/>
              </w:rPr>
              <w:t xml:space="preserve">PDF + Word</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正式签发文档，双人审核、统一编号，可直接用于管理层汇报与合规立项。</w:t>
            </w:r>
          </w:p>
        </w:tc>
        <w:tc>
          <w:tcPr>
            <w:tcW w:type="dxa" w:w="1843"/>
            <w:shd w:fill="F5F6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02</w:t>
            </w:r>
          </w:p>
          <w:p>
            <w:pPr>
              <w:spacing w:after="40" w:before="0" w:line="300"/>
              <w:jc w:val="left"/>
            </w:pPr>
            <w:r>
              <w:rPr>
                <w:rFonts w:ascii="Times New Roman" w:cs="Times New Roman" w:eastAsia="宋体" w:hAnsi="Times New Roman"/>
                <w:b/>
                <w:bCs/>
                <w:i w:val="false"/>
                <w:iCs w:val="false"/>
                <w:color w:val="212121"/>
                <w:sz w:val="21"/>
                <w:szCs w:val="21"/>
              </w:rPr>
              <w:t xml:space="preserve">71项核查工作表</w:t>
            </w:r>
          </w:p>
          <w:p>
            <w:pPr>
              <w:spacing w:after="40" w:before="0" w:line="300"/>
              <w:jc w:val="left"/>
            </w:pPr>
            <w:r>
              <w:rPr>
                <w:rFonts w:ascii="Times New Roman" w:cs="Times New Roman" w:eastAsia="宋体" w:hAnsi="Times New Roman"/>
                <w:b w:val="false"/>
                <w:bCs w:val="false"/>
                <w:i/>
                <w:iCs/>
                <w:color w:val="78909C"/>
                <w:sz w:val="21"/>
                <w:szCs w:val="21"/>
              </w:rPr>
              <w:t xml:space="preserve">Excel</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逐项标注状态、法规依据与证据索引，是后续数据建设的工作底稿。</w:t>
            </w:r>
          </w:p>
        </w:tc>
        <w:tc>
          <w:tcPr>
            <w:tcW w:type="dxa" w:w="1843"/>
            <w:shd w:fill="F5F6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03</w:t>
            </w:r>
          </w:p>
          <w:p>
            <w:pPr>
              <w:spacing w:after="40" w:before="0" w:line="300"/>
              <w:jc w:val="left"/>
            </w:pPr>
            <w:r>
              <w:rPr>
                <w:rFonts w:ascii="Times New Roman" w:cs="Times New Roman" w:eastAsia="宋体" w:hAnsi="Times New Roman"/>
                <w:b/>
                <w:bCs/>
                <w:i w:val="false"/>
                <w:iCs w:val="false"/>
                <w:color w:val="212121"/>
                <w:sz w:val="21"/>
                <w:szCs w:val="21"/>
              </w:rPr>
              <w:t xml:space="preserve">差距分级明细</w:t>
            </w:r>
          </w:p>
          <w:p>
            <w:pPr>
              <w:spacing w:after="40" w:before="0" w:line="300"/>
              <w:jc w:val="left"/>
            </w:pPr>
            <w:r>
              <w:rPr>
                <w:rFonts w:ascii="Times New Roman" w:cs="Times New Roman" w:eastAsia="宋体" w:hAnsi="Times New Roman"/>
                <w:b w:val="false"/>
                <w:bCs w:val="false"/>
                <w:i/>
                <w:iCs/>
                <w:color w:val="78909C"/>
                <w:sz w:val="21"/>
                <w:szCs w:val="21"/>
              </w:rPr>
              <w:t xml:space="preserve">Excel / 报告附录</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红黄绿分类、评分明细与优先级标注，阻塞项一目了然。</w:t>
            </w:r>
          </w:p>
        </w:tc>
        <w:tc>
          <w:tcPr>
            <w:tcW w:type="dxa" w:w="1844"/>
            <w:shd w:fill="F5F6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04</w:t>
            </w:r>
          </w:p>
          <w:p>
            <w:pPr>
              <w:spacing w:after="40" w:before="0" w:line="300"/>
              <w:jc w:val="left"/>
            </w:pPr>
            <w:r>
              <w:rPr>
                <w:rFonts w:ascii="Times New Roman" w:cs="Times New Roman" w:eastAsia="宋体" w:hAnsi="Times New Roman"/>
                <w:b/>
                <w:bCs/>
                <w:i w:val="false"/>
                <w:iCs w:val="false"/>
                <w:color w:val="212121"/>
                <w:sz w:val="21"/>
                <w:szCs w:val="21"/>
              </w:rPr>
              <w:t xml:space="preserve">整改路线图</w:t>
            </w:r>
          </w:p>
          <w:p>
            <w:pPr>
              <w:spacing w:after="40" w:before="0" w:line="300"/>
              <w:jc w:val="left"/>
            </w:pPr>
            <w:r>
              <w:rPr>
                <w:rFonts w:ascii="Times New Roman" w:cs="Times New Roman" w:eastAsia="宋体" w:hAnsi="Times New Roman"/>
                <w:b w:val="false"/>
                <w:bCs w:val="false"/>
                <w:i/>
                <w:iCs/>
                <w:color w:val="78909C"/>
                <w:sz w:val="21"/>
                <w:szCs w:val="21"/>
              </w:rPr>
              <w:t xml:space="preserve">报告章节 + 附表</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三阶段行动计划，含动作、责任方、周期与依赖关系，拿到即可排期。</w:t>
            </w:r>
          </w:p>
        </w:tc>
        <w:tc>
          <w:tcPr>
            <w:tcW w:type="dxa" w:w="1843"/>
            <w:shd w:fill="F5F6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E7D32"/>
                <w:sz w:val="21"/>
                <w:szCs w:val="21"/>
              </w:rPr>
              <w:t xml:space="preserve">05</w:t>
            </w:r>
          </w:p>
          <w:p>
            <w:pPr>
              <w:spacing w:after="40" w:before="0" w:line="300"/>
              <w:jc w:val="left"/>
            </w:pPr>
            <w:r>
              <w:rPr>
                <w:rFonts w:ascii="Times New Roman" w:cs="Times New Roman" w:eastAsia="宋体" w:hAnsi="Times New Roman"/>
                <w:b/>
                <w:bCs/>
                <w:i w:val="false"/>
                <w:iCs w:val="false"/>
                <w:color w:val="212121"/>
                <w:sz w:val="21"/>
                <w:szCs w:val="21"/>
              </w:rPr>
              <w:t xml:space="preserve">关键日期速查卡</w:t>
            </w:r>
          </w:p>
          <w:p>
            <w:pPr>
              <w:spacing w:after="40" w:before="0" w:line="300"/>
              <w:jc w:val="left"/>
            </w:pPr>
            <w:r>
              <w:rPr>
                <w:rFonts w:ascii="Times New Roman" w:cs="Times New Roman" w:eastAsia="宋体" w:hAnsi="Times New Roman"/>
                <w:b w:val="false"/>
                <w:bCs w:val="false"/>
                <w:i/>
                <w:iCs/>
                <w:color w:val="78909C"/>
                <w:sz w:val="21"/>
                <w:szCs w:val="21"/>
              </w:rPr>
              <w:t xml:space="preserve">A4 单页可打印</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只保留与贵司产品相关的法规日期与倒推节点，可打印张贴。</w:t>
            </w:r>
          </w:p>
        </w:tc>
      </w:tr>
    </w:tbl>
    <w:p>
      <w:pPr>
        <w:spacing w:after="80"/>
      </w:pPr>
    </w:p>
    <w:p>
      <w:pPr>
        <w:pStyle w:val="Heading2"/>
        <w:keepNext/>
        <w:spacing w:after="140" w:before="300"/>
      </w:pPr>
      <w:r>
        <w:rPr>
          <w:rFonts w:ascii="Times New Roman" w:cs="Times New Roman" w:eastAsia="黑体" w:hAnsi="Times New Roman"/>
          <w:b/>
          <w:bCs/>
          <w:color w:val="283593"/>
          <w:sz w:val="26"/>
          <w:szCs w:val="26"/>
        </w:rPr>
        <w:t xml:space="preserve">每份交付物具体包含什么</w:t>
      </w:r>
    </w:p>
    <w:p>
      <w:pPr>
        <w:pStyle w:val="Heading3"/>
        <w:keepNext/>
        <w:spacing w:after="100" w:before="200"/>
      </w:pPr>
      <w:r>
        <w:rPr>
          <w:rFonts w:ascii="Times New Roman" w:cs="Times New Roman" w:eastAsia="黑体" w:hAnsi="Times New Roman"/>
          <w:b/>
          <w:bCs/>
          <w:color w:val="1A237E"/>
          <w:sz w:val="22"/>
          <w:szCs w:val="22"/>
        </w:rPr>
        <w:t xml:space="preserve">01 《差距评估报告》章节目录</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封面（客户名称、报告编号、评估基准日、评估师、版本号）</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评估摘要（主营产品、评估范围、护照适用性、综合评级、一句话关键结论）</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评估范围与方法论（电池类型判定、三维度核查体系、L1-L4判定口径）</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32项核查结果（六维度逐项展开：状态、证据索引、差距说明）</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差距分析（红黄绿分类统计、关键差距TOP5）</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综合评级（六维得分、加权计算、雷达图）</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根因分析（按数据/流程/技术/供应商四类归因）</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整改路线图（三阶段动作、责任方、周期与依赖）</w:t>
      </w:r>
    </w:p>
    <w:p>
      <w:pPr>
        <w:pStyle w:val="ListParagraph"/>
        <w:numPr>
          <w:ilvl w:val="0"/>
          <w:numId w:val="14"/>
        </w:numPr>
        <w:spacing w:after="70" w:before="0" w:line="300"/>
      </w:pPr>
      <w:r>
        <w:rPr>
          <w:rFonts w:ascii="Times New Roman" w:cs="Times New Roman" w:eastAsia="宋体" w:hAnsi="Times New Roman"/>
          <w:b w:val="false"/>
          <w:bCs w:val="false"/>
          <w:i w:val="false"/>
          <w:iCs w:val="false"/>
          <w:color w:val="212121"/>
          <w:sz w:val="21"/>
          <w:szCs w:val="21"/>
        </w:rPr>
        <w:t xml:space="preserve">附录（证据索引总表、评级标准与计算口径、适用法规条款清单）</w:t>
      </w:r>
    </w:p>
    <w:p>
      <w:pPr>
        <w:pStyle w:val="Heading3"/>
        <w:keepNext/>
        <w:spacing w:after="100" w:before="200"/>
      </w:pPr>
      <w:r>
        <w:rPr>
          <w:rFonts w:ascii="Times New Roman" w:cs="Times New Roman" w:eastAsia="黑体" w:hAnsi="Times New Roman"/>
          <w:b/>
          <w:bCs/>
          <w:color w:val="1A237E"/>
          <w:sz w:val="22"/>
          <w:szCs w:val="22"/>
        </w:rPr>
        <w:t xml:space="preserve">02 《71项核查工作表》字段说明</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200"/>
        <w:gridCol w:w="7016"/>
      </w:tblGrid>
      <w:tr>
        <w:trPr>
          <w:cantSplit/>
          <w:tblHeader/>
        </w:trPr>
        <w:tc>
          <w:tcPr>
            <w:tcW w:type="dxa" w:w="22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字段</w:t>
            </w:r>
          </w:p>
        </w:tc>
        <w:tc>
          <w:tcPr>
            <w:tcW w:type="dxa" w:w="70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填写内容</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序号</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数据点官方编号（1–71）</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数据项名称</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法规/指南中的标准名称</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法规依据</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对应条款（如Art.77(3)、Annex XIII.4(b)）</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适用判定</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强制适用 / 条件适用 / 不适用 / 暂不填报</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现状状态</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✅已满足 / 🟡部分满足 / 🔴未满足 / ⚪不适用</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证据索引</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证据编号、文件名、日期、版本、覆盖范围</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差距说明</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具体缺口与L1-L4未通过层次</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责任建议</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建议责任部门（内部/供应商/第三方）</w:t>
            </w:r>
          </w:p>
        </w:tc>
      </w:tr>
    </w:tbl>
    <w:p>
      <w:pPr>
        <w:spacing w:after="80"/>
      </w:pPr>
    </w:p>
    <w:p>
      <w:pPr>
        <w:pStyle w:val="Heading3"/>
        <w:keepNext/>
        <w:spacing w:after="100" w:before="200"/>
      </w:pPr>
      <w:r>
        <w:rPr>
          <w:rFonts w:ascii="Times New Roman" w:cs="Times New Roman" w:eastAsia="黑体" w:hAnsi="Times New Roman"/>
          <w:b/>
          <w:bCs/>
          <w:color w:val="1A237E"/>
          <w:sz w:val="22"/>
          <w:szCs w:val="22"/>
        </w:rPr>
        <w:t xml:space="preserve">03 《差距分级明细》内容</w:t>
      </w:r>
    </w:p>
    <w:p>
      <w:pPr>
        <w:pStyle w:val="ListParagraph"/>
        <w:numPr>
          <w:ilvl w:val="0"/>
          <w:numId w:val="15"/>
        </w:numPr>
        <w:spacing w:after="70" w:before="0" w:line="300"/>
      </w:pPr>
      <w:r>
        <w:rPr>
          <w:rFonts w:ascii="Times New Roman" w:cs="Times New Roman" w:eastAsia="宋体" w:hAnsi="Times New Roman"/>
          <w:b w:val="false"/>
          <w:bCs w:val="false"/>
          <w:i w:val="false"/>
          <w:iCs w:val="false"/>
          <w:color w:val="212121"/>
          <w:sz w:val="21"/>
          <w:szCs w:val="21"/>
        </w:rPr>
        <w:t xml:space="preserve">红/黄/绿三类分类表（含每项判定依据）</w:t>
      </w:r>
    </w:p>
    <w:p>
      <w:pPr>
        <w:pStyle w:val="ListParagraph"/>
        <w:numPr>
          <w:ilvl w:val="0"/>
          <w:numId w:val="15"/>
        </w:numPr>
        <w:spacing w:after="70" w:before="0" w:line="300"/>
      </w:pPr>
      <w:r>
        <w:rPr>
          <w:rFonts w:ascii="Times New Roman" w:cs="Times New Roman" w:eastAsia="宋体" w:hAnsi="Times New Roman"/>
          <w:b w:val="false"/>
          <w:bCs w:val="false"/>
          <w:i w:val="false"/>
          <w:iCs w:val="false"/>
          <w:color w:val="212121"/>
          <w:sz w:val="21"/>
          <w:szCs w:val="21"/>
        </w:rPr>
        <w:t xml:space="preserve">六维度评分明细与加权计算过程（可逐项复核）</w:t>
      </w:r>
    </w:p>
    <w:p>
      <w:pPr>
        <w:pStyle w:val="ListParagraph"/>
        <w:numPr>
          <w:ilvl w:val="0"/>
          <w:numId w:val="15"/>
        </w:numPr>
        <w:spacing w:after="70" w:before="0" w:line="300"/>
      </w:pPr>
      <w:r>
        <w:rPr>
          <w:rFonts w:ascii="Times New Roman" w:cs="Times New Roman" w:eastAsia="宋体" w:hAnsi="Times New Roman"/>
          <w:b w:val="false"/>
          <w:bCs w:val="false"/>
          <w:i w:val="false"/>
          <w:iCs w:val="false"/>
          <w:color w:val="212121"/>
          <w:sz w:val="21"/>
          <w:szCs w:val="21"/>
        </w:rPr>
        <w:t xml:space="preserve">优先级标注：</w:t>
      </w:r>
      <w:r>
        <w:rPr>
          <w:rFonts w:ascii="Times New Roman" w:cs="Times New Roman" w:eastAsia="宋体" w:hAnsi="Times New Roman"/>
          <w:b/>
          <w:bCs/>
          <w:i w:val="false"/>
          <w:iCs w:val="false"/>
          <w:color w:val="212121"/>
          <w:sz w:val="21"/>
          <w:szCs w:val="21"/>
        </w:rPr>
        <w:t xml:space="preserve">紧急</w:t>
      </w:r>
      <w:r>
        <w:rPr>
          <w:rFonts w:ascii="Times New Roman" w:cs="Times New Roman" w:eastAsia="宋体" w:hAnsi="Times New Roman"/>
          <w:b w:val="false"/>
          <w:bCs w:val="false"/>
          <w:i w:val="false"/>
          <w:iCs w:val="false"/>
          <w:color w:val="212121"/>
          <w:sz w:val="21"/>
          <w:szCs w:val="21"/>
        </w:rPr>
        <w:t xml:space="preserve">（阻塞护照上线）/ </w:t>
      </w:r>
      <w:r>
        <w:rPr>
          <w:rFonts w:ascii="Times New Roman" w:cs="Times New Roman" w:eastAsia="宋体" w:hAnsi="Times New Roman"/>
          <w:b/>
          <w:bCs/>
          <w:i w:val="false"/>
          <w:iCs w:val="false"/>
          <w:color w:val="212121"/>
          <w:sz w:val="21"/>
          <w:szCs w:val="21"/>
        </w:rPr>
        <w:t xml:space="preserve">高</w:t>
      </w:r>
      <w:r>
        <w:rPr>
          <w:rFonts w:ascii="Times New Roman" w:cs="Times New Roman" w:eastAsia="宋体" w:hAnsi="Times New Roman"/>
          <w:b w:val="false"/>
          <w:bCs w:val="false"/>
          <w:i w:val="false"/>
          <w:iCs w:val="false"/>
          <w:color w:val="212121"/>
          <w:sz w:val="21"/>
          <w:szCs w:val="21"/>
        </w:rPr>
        <w:t xml:space="preserve">（法定期限前必须完成）/ </w:t>
      </w:r>
      <w:r>
        <w:rPr>
          <w:rFonts w:ascii="Times New Roman" w:cs="Times New Roman" w:eastAsia="宋体" w:hAnsi="Times New Roman"/>
          <w:b/>
          <w:bCs/>
          <w:i w:val="false"/>
          <w:iCs w:val="false"/>
          <w:color w:val="212121"/>
          <w:sz w:val="21"/>
          <w:szCs w:val="21"/>
        </w:rPr>
        <w:t xml:space="preserve">中</w:t>
      </w:r>
      <w:r>
        <w:rPr>
          <w:rFonts w:ascii="Times New Roman" w:cs="Times New Roman" w:eastAsia="宋体" w:hAnsi="Times New Roman"/>
          <w:b w:val="false"/>
          <w:bCs w:val="false"/>
          <w:i w:val="false"/>
          <w:iCs w:val="false"/>
          <w:color w:val="212121"/>
          <w:sz w:val="21"/>
          <w:szCs w:val="21"/>
        </w:rPr>
        <w:t xml:space="preserve">（影响完整性，可排期）</w:t>
      </w:r>
    </w:p>
    <w:p>
      <w:pPr>
        <w:pStyle w:val="Heading3"/>
        <w:keepNext/>
        <w:spacing w:after="100" w:before="200"/>
      </w:pPr>
      <w:r>
        <w:rPr>
          <w:rFonts w:ascii="Times New Roman" w:cs="Times New Roman" w:eastAsia="黑体" w:hAnsi="Times New Roman"/>
          <w:b/>
          <w:bCs/>
          <w:color w:val="1A237E"/>
          <w:sz w:val="22"/>
          <w:szCs w:val="22"/>
        </w:rPr>
        <w:t xml:space="preserve">04 《整改路线图》结构</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1500"/>
        <w:gridCol w:w="1100"/>
        <w:gridCol w:w="3000"/>
        <w:gridCol w:w="1400"/>
        <w:gridCol w:w="900"/>
        <w:gridCol w:w="1316"/>
      </w:tblGrid>
      <w:tr>
        <w:trPr>
          <w:cantSplit/>
          <w:tblHeader/>
        </w:trPr>
        <w:tc>
          <w:tcPr>
            <w:tcW w:type="dxa" w:w="15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阶段</w:t>
            </w:r>
          </w:p>
        </w:tc>
        <w:tc>
          <w:tcPr>
            <w:tcW w:type="dxa" w:w="11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时间</w:t>
            </w:r>
          </w:p>
        </w:tc>
        <w:tc>
          <w:tcPr>
            <w:tcW w:type="dxa" w:w="30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典型动作</w:t>
            </w:r>
          </w:p>
        </w:tc>
        <w:tc>
          <w:tcPr>
            <w:tcW w:type="dxa" w:w="14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责任方</w:t>
            </w:r>
          </w:p>
        </w:tc>
        <w:tc>
          <w:tcPr>
            <w:tcW w:type="dxa" w:w="9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预估周期</w:t>
            </w:r>
          </w:p>
        </w:tc>
        <w:tc>
          <w:tcPr>
            <w:tcW w:type="dxa" w:w="13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依赖关系</w:t>
            </w:r>
          </w:p>
        </w:tc>
      </w:tr>
      <w:tr>
        <w:trPr>
          <w:cantSplit/>
        </w:trPr>
        <w:tc>
          <w:tcPr>
            <w:tcW w:type="dxa" w:w="1500"/>
            <w:vMerge w:val="restart"/>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第一阶段 立即整改</w:t>
            </w:r>
          </w:p>
        </w:tc>
        <w:tc>
          <w:tcPr>
            <w:tcW w:type="dxa" w:w="1100"/>
            <w:vMerge w:val="restart"/>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0-3个月</w:t>
            </w:r>
          </w:p>
        </w:tc>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指定DPP负责人、成立跨部门小组、确认欧代安排</w:t>
            </w:r>
          </w:p>
        </w:tc>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企业管理层</w:t>
            </w:r>
          </w:p>
        </w:tc>
        <w:tc>
          <w:tcPr>
            <w:tcW w:type="dxa" w:w="9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2-4周</w:t>
            </w:r>
          </w:p>
        </w:tc>
        <w:tc>
          <w:tcPr>
            <w:tcW w:type="dxa" w:w="13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无</w:t>
            </w:r>
          </w:p>
        </w:tc>
      </w:tr>
      <w:tr>
        <w:trPr>
          <w:cantSplit/>
        </w:trPr>
        <w:tc>
          <w:tcPr>
            <w:tcW w:type="dxa" w:w="15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11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盘点CE/DoC覆盖范围，补做缺口型号认证</w:t>
            </w:r>
          </w:p>
        </w:tc>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质量部门 + 认证机构</w:t>
            </w:r>
          </w:p>
        </w:tc>
        <w:tc>
          <w:tcPr>
            <w:tcW w:type="dxa" w:w="9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4-8周</w:t>
            </w:r>
          </w:p>
        </w:tc>
        <w:tc>
          <w:tcPr>
            <w:tcW w:type="dxa" w:w="13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SKU清单确认</w:t>
            </w:r>
          </w:p>
        </w:tc>
      </w:tr>
      <w:tr>
        <w:trPr>
          <w:cantSplit/>
        </w:trPr>
        <w:tc>
          <w:tcPr>
            <w:tcW w:type="dxa" w:w="15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11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启动供应商问卷实测，锁定不配合供应商清单</w:t>
            </w:r>
          </w:p>
        </w:tc>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采购部门 + 顾问</w:t>
            </w:r>
          </w:p>
        </w:tc>
        <w:tc>
          <w:tcPr>
            <w:tcW w:type="dxa" w:w="9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4-6周</w:t>
            </w:r>
          </w:p>
        </w:tc>
        <w:tc>
          <w:tcPr>
            <w:tcW w:type="dxa" w:w="13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供应商清单</w:t>
            </w:r>
          </w:p>
        </w:tc>
      </w:tr>
      <w:tr>
        <w:trPr>
          <w:cantSplit/>
        </w:trPr>
        <w:tc>
          <w:tcPr>
            <w:tcW w:type="dxa" w:w="1500"/>
            <w:vMerge w:val="restart"/>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第二阶段 中期建设</w:t>
            </w:r>
          </w:p>
        </w:tc>
        <w:tc>
          <w:tcPr>
            <w:tcW w:type="dxa" w:w="1100"/>
            <w:vMerge w:val="restart"/>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3-6个月</w:t>
            </w:r>
          </w:p>
        </w:tc>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编制数据手册，完成71字段格式定义与责任分配</w:t>
            </w:r>
          </w:p>
        </w:tc>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合规/研发/IT</w:t>
            </w:r>
          </w:p>
        </w:tc>
        <w:tc>
          <w:tcPr>
            <w:tcW w:type="dxa" w:w="9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6-10周</w:t>
            </w:r>
          </w:p>
        </w:tc>
        <w:tc>
          <w:tcPr>
            <w:tcW w:type="dxa" w:w="13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差距评估结论</w:t>
            </w:r>
          </w:p>
        </w:tc>
      </w:tr>
      <w:tr>
        <w:trPr>
          <w:cantSplit/>
        </w:trPr>
        <w:tc>
          <w:tcPr>
            <w:tcW w:type="dxa" w:w="15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11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委托碳足迹研究（PEF方法）并取得核验意见</w:t>
            </w:r>
          </w:p>
        </w:tc>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第三方机构</w:t>
            </w:r>
          </w:p>
        </w:tc>
        <w:tc>
          <w:tcPr>
            <w:tcW w:type="dxa" w:w="9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8-12周</w:t>
            </w:r>
          </w:p>
        </w:tc>
        <w:tc>
          <w:tcPr>
            <w:tcW w:type="dxa" w:w="13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现场数据采集</w:t>
            </w:r>
          </w:p>
        </w:tc>
      </w:tr>
      <w:tr>
        <w:trPr>
          <w:cantSplit/>
        </w:trPr>
        <w:tc>
          <w:tcPr>
            <w:tcW w:type="dxa" w:w="15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11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BMS字段改造、再生含量数据回收链路打通</w:t>
            </w:r>
          </w:p>
        </w:tc>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IT/采购 + 供应商</w:t>
            </w:r>
          </w:p>
        </w:tc>
        <w:tc>
          <w:tcPr>
            <w:tcW w:type="dxa" w:w="9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8-12周</w:t>
            </w:r>
          </w:p>
        </w:tc>
        <w:tc>
          <w:tcPr>
            <w:tcW w:type="dxa" w:w="13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供应商配合</w:t>
            </w:r>
          </w:p>
        </w:tc>
      </w:tr>
      <w:tr>
        <w:trPr>
          <w:cantSplit/>
        </w:trPr>
        <w:tc>
          <w:tcPr>
            <w:tcW w:type="dxa" w:w="1500"/>
            <w:vMerge w:val="restart"/>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第三阶段 上线准备</w:t>
            </w:r>
          </w:p>
        </w:tc>
        <w:tc>
          <w:tcPr>
            <w:tcW w:type="dxa" w:w="1100"/>
            <w:vMerge w:val="restart"/>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6-12个月</w:t>
            </w:r>
          </w:p>
        </w:tc>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QR码生成/印刷/粘贴产线落地，系统对接联调</w:t>
            </w:r>
          </w:p>
        </w:tc>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生产/IT</w:t>
            </w:r>
          </w:p>
        </w:tc>
        <w:tc>
          <w:tcPr>
            <w:tcW w:type="dxa" w:w="9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6-8周</w:t>
            </w:r>
          </w:p>
        </w:tc>
        <w:tc>
          <w:tcPr>
            <w:tcW w:type="dxa" w:w="13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数据手册定稿</w:t>
            </w:r>
          </w:p>
        </w:tc>
      </w:tr>
      <w:tr>
        <w:trPr>
          <w:cantSplit/>
        </w:trPr>
        <w:tc>
          <w:tcPr>
            <w:tcW w:type="dxa" w:w="15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1100"/>
            <w:vMerge w:val="continue"/>
            <w:shd w:fill="E8EAF6"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
            </w:r>
          </w:p>
        </w:tc>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护照数据试提交、查验应对演练、正式上线</w:t>
            </w:r>
          </w:p>
        </w:tc>
        <w:tc>
          <w:tcPr>
            <w:tcW w:type="dxa" w:w="14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合规部门 + 顾问</w:t>
            </w:r>
          </w:p>
        </w:tc>
        <w:tc>
          <w:tcPr>
            <w:tcW w:type="dxa" w:w="9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4-8周</w:t>
            </w:r>
          </w:p>
        </w:tc>
        <w:tc>
          <w:tcPr>
            <w:tcW w:type="dxa" w:w="13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全部数据就绪</w:t>
            </w:r>
          </w:p>
        </w:tc>
      </w:tr>
    </w:tbl>
    <w:p>
      <w:pPr>
        <w:spacing w:after="80"/>
      </w:pPr>
    </w:p>
    <w:p>
      <w:pPr>
        <w:pStyle w:val="Heading3"/>
        <w:keepNext/>
        <w:spacing w:after="100" w:before="200"/>
      </w:pPr>
      <w:r>
        <w:rPr>
          <w:rFonts w:ascii="Times New Roman" w:cs="Times New Roman" w:eastAsia="黑体" w:hAnsi="Times New Roman"/>
          <w:b/>
          <w:bCs/>
          <w:color w:val="1A237E"/>
          <w:sz w:val="22"/>
          <w:szCs w:val="22"/>
        </w:rPr>
        <w:t xml:space="preserve">05 《关键日期速查卡》版式</w:t>
      </w:r>
    </w:p>
    <w:p>
      <w:pPr>
        <w:pStyle w:val="ListParagraph"/>
        <w:numPr>
          <w:ilvl w:val="0"/>
          <w:numId w:val="16"/>
        </w:numPr>
        <w:spacing w:after="70" w:before="0" w:line="300"/>
      </w:pPr>
      <w:r>
        <w:rPr>
          <w:rFonts w:ascii="Times New Roman" w:cs="Times New Roman" w:eastAsia="宋体" w:hAnsi="Times New Roman"/>
          <w:b w:val="false"/>
          <w:bCs w:val="false"/>
          <w:i w:val="false"/>
          <w:iCs w:val="false"/>
          <w:color w:val="212121"/>
          <w:sz w:val="21"/>
          <w:szCs w:val="21"/>
        </w:rPr>
        <w:t xml:space="preserve">A4竖版单页，正反两用：正面为与贵司产品相关的法规日期轴，背面为倒推节点（如“上线前3个月须完成系统联调”）</w:t>
      </w:r>
    </w:p>
    <w:p>
      <w:pPr>
        <w:pStyle w:val="ListParagraph"/>
        <w:numPr>
          <w:ilvl w:val="0"/>
          <w:numId w:val="16"/>
        </w:numPr>
        <w:spacing w:after="70" w:before="0" w:line="300"/>
      </w:pPr>
      <w:r>
        <w:rPr>
          <w:rFonts w:ascii="Times New Roman" w:cs="Times New Roman" w:eastAsia="宋体" w:hAnsi="Times New Roman"/>
          <w:b w:val="false"/>
          <w:bCs w:val="false"/>
          <w:i w:val="false"/>
          <w:iCs w:val="false"/>
          <w:color w:val="212121"/>
          <w:sz w:val="21"/>
          <w:szCs w:val="21"/>
        </w:rPr>
        <w:t xml:space="preserve">按贵司电池类型自动过滤无关日期，标注剩余周数，可直接打印张贴于项目组办公区</w:t>
      </w: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第五部分 服务定价</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三档定价，按产品线复杂度与增值服务区分。评估报告数据在服务期内持续更新，不重复收取评估费。</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072"/>
        <w:gridCol w:w="3072"/>
        <w:gridCol w:w="3072"/>
      </w:tblGrid>
      <w:tr>
        <w:trPr>
          <w:cantSplit/>
        </w:trPr>
        <w:tc>
          <w:tcPr>
            <w:tcW w:type="dxa" w:w="3072"/>
            <w:shd w:fill="F5F6FA" w:color="auto" w:val="clear"/>
            <w:tcMar>
              <w:top w:type="dxa" w:w="70"/>
              <w:left w:type="dxa" w:w="120"/>
              <w:bottom w:type="dxa" w:w="70"/>
              <w:right w:type="dxa" w:w="120"/>
            </w:tcMar>
            <w:vAlign w:val="center"/>
          </w:tcPr>
          <w:p>
            <w:pPr>
              <w:spacing w:after="40" w:before="60" w:line="300"/>
              <w:jc w:val="left"/>
            </w:pPr>
            <w:r>
              <w:rPr>
                <w:rFonts w:ascii="Times New Roman" w:cs="Times New Roman" w:eastAsia="宋体" w:hAnsi="Times New Roman"/>
                <w:b/>
                <w:bCs/>
                <w:i w:val="false"/>
                <w:iCs w:val="false"/>
                <w:color w:val="1A237E"/>
                <w:sz w:val="21"/>
                <w:szCs w:val="21"/>
              </w:rPr>
              <w:t xml:space="preserve">基础版</w:t>
            </w:r>
          </w:p>
          <w:p>
            <w:pPr>
              <w:spacing w:after="70" w:before="0" w:line="300"/>
              <w:jc w:val="left"/>
            </w:pPr>
            <w:r>
              <w:rPr>
                <w:rFonts w:ascii="Times New Roman" w:cs="Times New Roman" w:eastAsia="宋体" w:hAnsi="Times New Roman"/>
                <w:b/>
                <w:bCs/>
                <w:i w:val="false"/>
                <w:iCs w:val="false"/>
                <w:color w:val="212121"/>
                <w:sz w:val="21"/>
                <w:szCs w:val="21"/>
              </w:rPr>
              <w:t xml:space="preserve">快速摸底</w:t>
            </w:r>
          </w:p>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适合：单一电池类型、SKU≤10，需要快速建立合规基线</w:t>
            </w:r>
          </w:p>
          <w:p>
            <w:pPr>
              <w:spacing w:after="80" w:before="80" w:line="300"/>
              <w:jc w:val="left"/>
            </w:pPr>
            <w:r>
              <w:rPr>
                <w:rFonts w:ascii="Times New Roman" w:cs="Times New Roman" w:eastAsia="宋体" w:hAnsi="Times New Roman"/>
                <w:b/>
                <w:bCs/>
                <w:i w:val="false"/>
                <w:iCs w:val="false"/>
                <w:color w:val="2E7D32"/>
                <w:sz w:val="21"/>
                <w:szCs w:val="21"/>
              </w:rPr>
              <w:t xml:space="preserve">¥80,000-150,000</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1种电池类型，≤10个SKU</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标准差距评估报告（PDF+Word）</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远程汇报1次</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交付周期：5-8个工作日</w:t>
            </w:r>
          </w:p>
        </w:tc>
        <w:tc>
          <w:tcPr>
            <w:tcW w:type="dxa" w:w="3072"/>
            <w:shd w:fill="1A237E" w:color="auto" w:val="clear"/>
            <w:tcMar>
              <w:top w:type="dxa" w:w="70"/>
              <w:left w:type="dxa" w:w="120"/>
              <w:bottom w:type="dxa" w:w="70"/>
              <w:right w:type="dxa" w:w="120"/>
            </w:tcMar>
            <w:vAlign w:val="center"/>
          </w:tcPr>
          <w:p>
            <w:pPr>
              <w:spacing w:after="40" w:before="60" w:line="300"/>
              <w:jc w:val="left"/>
            </w:pPr>
            <w:r>
              <w:rPr>
                <w:rFonts w:ascii="Times New Roman" w:cs="Times New Roman" w:eastAsia="宋体" w:hAnsi="Times New Roman"/>
                <w:b/>
                <w:bCs/>
                <w:i w:val="false"/>
                <w:iCs w:val="false"/>
                <w:color w:val="FFFFFF"/>
                <w:sz w:val="21"/>
                <w:szCs w:val="21"/>
              </w:rPr>
              <w:t xml:space="preserve">标准版（推荐）</w:t>
            </w:r>
          </w:p>
          <w:p>
            <w:pPr>
              <w:spacing w:after="70" w:before="0" w:line="300"/>
              <w:jc w:val="left"/>
            </w:pPr>
            <w:r>
              <w:rPr>
                <w:rFonts w:ascii="Times New Roman" w:cs="Times New Roman" w:eastAsia="宋体" w:hAnsi="Times New Roman"/>
                <w:b/>
                <w:bCs/>
                <w:i w:val="false"/>
                <w:iCs w:val="false"/>
                <w:color w:val="FFFFFF"/>
                <w:sz w:val="21"/>
                <w:szCs w:val="21"/>
              </w:rPr>
              <w:t xml:space="preserve">系统诊断</w:t>
            </w:r>
          </w:p>
          <w:p>
            <w:pPr>
              <w:spacing w:after="70" w:before="0" w:line="300"/>
              <w:jc w:val="left"/>
            </w:pPr>
            <w:r>
              <w:rPr>
                <w:rFonts w:ascii="Times New Roman" w:cs="Times New Roman" w:eastAsia="宋体" w:hAnsi="Times New Roman"/>
                <w:b w:val="false"/>
                <w:bCs w:val="false"/>
                <w:i w:val="false"/>
                <w:iCs w:val="false"/>
                <w:color w:val="C5CAE9"/>
                <w:sz w:val="21"/>
                <w:szCs w:val="21"/>
              </w:rPr>
              <w:t xml:space="preserve">适合：多电池类型、SKU≤30，需要完整行动计划支撑立项</w:t>
            </w:r>
          </w:p>
          <w:p>
            <w:pPr>
              <w:spacing w:after="80" w:before="80" w:line="300"/>
              <w:jc w:val="left"/>
            </w:pPr>
            <w:r>
              <w:rPr>
                <w:rFonts w:ascii="Times New Roman" w:cs="Times New Roman" w:eastAsia="宋体" w:hAnsi="Times New Roman"/>
                <w:b/>
                <w:bCs/>
                <w:i w:val="false"/>
                <w:iCs w:val="false"/>
                <w:color w:val="2E7D32"/>
                <w:sz w:val="21"/>
                <w:szCs w:val="21"/>
              </w:rPr>
              <w:t xml:space="preserve">¥200,000-350,000</w:t>
            </w:r>
          </w:p>
          <w:p>
            <w:pPr>
              <w:spacing w:after="70" w:before="0" w:line="300"/>
              <w:jc w:val="left"/>
            </w:pPr>
            <w:r>
              <w:rPr>
                <w:rFonts w:ascii="Times New Roman" w:cs="Times New Roman" w:eastAsia="宋体" w:hAnsi="Times New Roman"/>
                <w:b w:val="false"/>
                <w:bCs w:val="false"/>
                <w:i w:val="false"/>
                <w:iCs w:val="false"/>
                <w:color w:val="E8EAF6"/>
                <w:sz w:val="21"/>
                <w:szCs w:val="21"/>
              </w:rPr>
              <w:t xml:space="preserve">• </w:t>
            </w:r>
            <w:r>
              <w:rPr>
                <w:rFonts w:ascii="Times New Roman" w:cs="Times New Roman" w:eastAsia="宋体" w:hAnsi="Times New Roman"/>
                <w:b w:val="false"/>
                <w:bCs w:val="false"/>
                <w:i w:val="false"/>
                <w:iCs w:val="false"/>
                <w:color w:val="E8EAF6"/>
                <w:sz w:val="21"/>
                <w:szCs w:val="21"/>
              </w:rPr>
              <w:t xml:space="preserve">多种电池类型，≤30个SKU</w:t>
            </w:r>
          </w:p>
          <w:p>
            <w:pPr>
              <w:spacing w:after="70" w:before="0" w:line="300"/>
              <w:jc w:val="left"/>
            </w:pPr>
            <w:r>
              <w:rPr>
                <w:rFonts w:ascii="Times New Roman" w:cs="Times New Roman" w:eastAsia="宋体" w:hAnsi="Times New Roman"/>
                <w:b w:val="false"/>
                <w:bCs w:val="false"/>
                <w:i w:val="false"/>
                <w:iCs w:val="false"/>
                <w:color w:val="E8EAF6"/>
                <w:sz w:val="21"/>
                <w:szCs w:val="21"/>
              </w:rPr>
              <w:t xml:space="preserve">• </w:t>
            </w:r>
            <w:r>
              <w:rPr>
                <w:rFonts w:ascii="Times New Roman" w:cs="Times New Roman" w:eastAsia="宋体" w:hAnsi="Times New Roman"/>
                <w:b w:val="false"/>
                <w:bCs w:val="false"/>
                <w:i w:val="false"/>
                <w:iCs w:val="false"/>
                <w:color w:val="E8EAF6"/>
                <w:sz w:val="21"/>
                <w:szCs w:val="21"/>
              </w:rPr>
              <w:t xml:space="preserve">完整差距评估报告 + 法规适配矩阵</w:t>
            </w:r>
          </w:p>
          <w:p>
            <w:pPr>
              <w:spacing w:after="70" w:before="0" w:line="300"/>
              <w:jc w:val="left"/>
            </w:pPr>
            <w:r>
              <w:rPr>
                <w:rFonts w:ascii="Times New Roman" w:cs="Times New Roman" w:eastAsia="宋体" w:hAnsi="Times New Roman"/>
                <w:b w:val="false"/>
                <w:bCs w:val="false"/>
                <w:i w:val="false"/>
                <w:iCs w:val="false"/>
                <w:color w:val="E8EAF6"/>
                <w:sz w:val="21"/>
                <w:szCs w:val="21"/>
              </w:rPr>
              <w:t xml:space="preserve">• </w:t>
            </w:r>
            <w:r>
              <w:rPr>
                <w:rFonts w:ascii="Times New Roman" w:cs="Times New Roman" w:eastAsia="宋体" w:hAnsi="Times New Roman"/>
                <w:b w:val="false"/>
                <w:bCs w:val="false"/>
                <w:i w:val="false"/>
                <w:iCs w:val="false"/>
                <w:color w:val="E8EAF6"/>
                <w:sz w:val="21"/>
                <w:szCs w:val="21"/>
              </w:rPr>
              <w:t xml:space="preserve">远程汇报2次 + 书面答疑</w:t>
            </w:r>
          </w:p>
          <w:p>
            <w:pPr>
              <w:spacing w:after="70" w:before="0" w:line="300"/>
              <w:jc w:val="left"/>
            </w:pPr>
            <w:r>
              <w:rPr>
                <w:rFonts w:ascii="Times New Roman" w:cs="Times New Roman" w:eastAsia="宋体" w:hAnsi="Times New Roman"/>
                <w:b w:val="false"/>
                <w:bCs w:val="false"/>
                <w:i w:val="false"/>
                <w:iCs w:val="false"/>
                <w:color w:val="E8EAF6"/>
                <w:sz w:val="21"/>
                <w:szCs w:val="21"/>
              </w:rPr>
              <w:t xml:space="preserve">• </w:t>
            </w:r>
            <w:r>
              <w:rPr>
                <w:rFonts w:ascii="Times New Roman" w:cs="Times New Roman" w:eastAsia="宋体" w:hAnsi="Times New Roman"/>
                <w:b w:val="false"/>
                <w:bCs w:val="false"/>
                <w:i w:val="false"/>
                <w:iCs w:val="false"/>
                <w:color w:val="E8EAF6"/>
                <w:sz w:val="21"/>
                <w:szCs w:val="21"/>
              </w:rPr>
              <w:t xml:space="preserve">含整改路线图（三阶段明细）</w:t>
            </w:r>
          </w:p>
          <w:p>
            <w:pPr>
              <w:spacing w:after="70" w:before="0" w:line="300"/>
              <w:jc w:val="left"/>
            </w:pPr>
            <w:r>
              <w:rPr>
                <w:rFonts w:ascii="Times New Roman" w:cs="Times New Roman" w:eastAsia="宋体" w:hAnsi="Times New Roman"/>
                <w:b w:val="false"/>
                <w:bCs w:val="false"/>
                <w:i w:val="false"/>
                <w:iCs w:val="false"/>
                <w:color w:val="E8EAF6"/>
                <w:sz w:val="21"/>
                <w:szCs w:val="21"/>
              </w:rPr>
              <w:t xml:space="preserve">• </w:t>
            </w:r>
            <w:r>
              <w:rPr>
                <w:rFonts w:ascii="Times New Roman" w:cs="Times New Roman" w:eastAsia="宋体" w:hAnsi="Times New Roman"/>
                <w:b w:val="false"/>
                <w:bCs w:val="false"/>
                <w:i w:val="false"/>
                <w:iCs w:val="false"/>
                <w:color w:val="E8EAF6"/>
                <w:sz w:val="21"/>
                <w:szCs w:val="21"/>
              </w:rPr>
              <w:t xml:space="preserve">评估数据30天内免费更新</w:t>
            </w:r>
          </w:p>
          <w:p>
            <w:pPr>
              <w:spacing w:after="70" w:before="0" w:line="300"/>
              <w:jc w:val="left"/>
            </w:pPr>
            <w:r>
              <w:rPr>
                <w:rFonts w:ascii="Times New Roman" w:cs="Times New Roman" w:eastAsia="宋体" w:hAnsi="Times New Roman"/>
                <w:b w:val="false"/>
                <w:bCs w:val="false"/>
                <w:i w:val="false"/>
                <w:iCs w:val="false"/>
                <w:color w:val="E8EAF6"/>
                <w:sz w:val="21"/>
                <w:szCs w:val="21"/>
              </w:rPr>
              <w:t xml:space="preserve">• </w:t>
            </w:r>
            <w:r>
              <w:rPr>
                <w:rFonts w:ascii="Times New Roman" w:cs="Times New Roman" w:eastAsia="宋体" w:hAnsi="Times New Roman"/>
                <w:b w:val="false"/>
                <w:bCs w:val="false"/>
                <w:i w:val="false"/>
                <w:iCs w:val="false"/>
                <w:color w:val="E8EAF6"/>
                <w:sz w:val="21"/>
                <w:szCs w:val="21"/>
              </w:rPr>
              <w:t xml:space="preserve">交付周期：8-15个工作日</w:t>
            </w:r>
          </w:p>
        </w:tc>
        <w:tc>
          <w:tcPr>
            <w:tcW w:type="dxa" w:w="3072"/>
            <w:shd w:fill="F5F6FA" w:color="auto" w:val="clear"/>
            <w:tcMar>
              <w:top w:type="dxa" w:w="70"/>
              <w:left w:type="dxa" w:w="120"/>
              <w:bottom w:type="dxa" w:w="70"/>
              <w:right w:type="dxa" w:w="120"/>
            </w:tcMar>
            <w:vAlign w:val="center"/>
          </w:tcPr>
          <w:p>
            <w:pPr>
              <w:spacing w:after="40" w:before="60" w:line="300"/>
              <w:jc w:val="left"/>
            </w:pPr>
            <w:r>
              <w:rPr>
                <w:rFonts w:ascii="Times New Roman" w:cs="Times New Roman" w:eastAsia="宋体" w:hAnsi="Times New Roman"/>
                <w:b/>
                <w:bCs/>
                <w:i w:val="false"/>
                <w:iCs w:val="false"/>
                <w:color w:val="1A237E"/>
                <w:sz w:val="21"/>
                <w:szCs w:val="21"/>
              </w:rPr>
              <w:t xml:space="preserve">旗舰版</w:t>
            </w:r>
          </w:p>
          <w:p>
            <w:pPr>
              <w:spacing w:after="70" w:before="0" w:line="300"/>
              <w:jc w:val="left"/>
            </w:pPr>
            <w:r>
              <w:rPr>
                <w:rFonts w:ascii="Times New Roman" w:cs="Times New Roman" w:eastAsia="宋体" w:hAnsi="Times New Roman"/>
                <w:b/>
                <w:bCs/>
                <w:i w:val="false"/>
                <w:iCs w:val="false"/>
                <w:color w:val="212121"/>
                <w:sz w:val="21"/>
                <w:szCs w:val="21"/>
              </w:rPr>
              <w:t xml:space="preserve">全量评估 + 长期辅导</w:t>
            </w:r>
          </w:p>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适合：不限SKU的全量评估，且需要深度陪跑整改的企业</w:t>
            </w:r>
          </w:p>
          <w:p>
            <w:pPr>
              <w:spacing w:after="80" w:before="80" w:line="300"/>
              <w:jc w:val="left"/>
            </w:pPr>
            <w:r>
              <w:rPr>
                <w:rFonts w:ascii="Times New Roman" w:cs="Times New Roman" w:eastAsia="宋体" w:hAnsi="Times New Roman"/>
                <w:b/>
                <w:bCs/>
                <w:i w:val="false"/>
                <w:iCs w:val="false"/>
                <w:color w:val="2E7D32"/>
                <w:sz w:val="21"/>
                <w:szCs w:val="21"/>
              </w:rPr>
              <w:t xml:space="preserve">¥500,000-800,000</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不限电池类型与SKU数量</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现场汇报 + 整改工作坊（半天）</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3个月整改辅导期，优先响应通道</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评估数据90天内免费更新</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后续②③④服务专属折扣</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交付周期：15-20个工作日</w:t>
            </w:r>
          </w:p>
        </w:tc>
      </w:tr>
    </w:tbl>
    <w:p>
      <w:pPr>
        <w:spacing w:after="80"/>
      </w:pP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4608"/>
        <w:gridCol w:w="4608"/>
      </w:tblGrid>
      <w:tr>
        <w:trPr>
          <w:cantSplit/>
        </w:trPr>
        <w:tc>
          <w:tcPr>
            <w:tcW w:type="dxa" w:w="4608"/>
            <w:shd w:fill="FAFA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12121"/>
                <w:sz w:val="21"/>
                <w:szCs w:val="21"/>
              </w:rPr>
              <w:t xml:space="preserve">⏱️ 加急服务</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在标准周期基础上压缩交付时间的，加急费用加收30%，具体可压缩幅度于签约前确认。</w:t>
            </w:r>
          </w:p>
        </w:tc>
        <w:tc>
          <w:tcPr>
            <w:tcW w:type="dxa" w:w="4608"/>
            <w:shd w:fill="FAFA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12121"/>
                <w:sz w:val="21"/>
                <w:szCs w:val="21"/>
              </w:rPr>
              <w:t xml:space="preserve">💳 付款节奏</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合同签署时支付50%启动款，报告交付验收后支付剩余50%，支持对公转账。</w:t>
            </w:r>
          </w:p>
        </w:tc>
      </w:tr>
      <w:tr>
        <w:trPr>
          <w:cantSplit/>
        </w:trPr>
        <w:tc>
          <w:tcPr>
            <w:tcW w:type="dxa" w:w="4608"/>
            <w:shd w:fill="FAFA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12121"/>
                <w:sz w:val="21"/>
                <w:szCs w:val="21"/>
              </w:rPr>
              <w:t xml:space="preserve">✈️ 差旅费用</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现场工作（旗舰版汇报/工作坊等）所发生差旅按实际发生额据实结算，不包含在服务费内。</w:t>
            </w:r>
          </w:p>
        </w:tc>
        <w:tc>
          <w:tcPr>
            <w:tcW w:type="dxa" w:w="4608"/>
            <w:shd w:fill="FAFAFA" w:color="auto" w:val="clear"/>
            <w:tcMar>
              <w:top w:type="dxa" w:w="70"/>
              <w:left w:type="dxa" w:w="120"/>
              <w:bottom w:type="dxa" w:w="70"/>
              <w:right w:type="dxa" w:w="120"/>
            </w:tcMar>
            <w:vAlign w:val="center"/>
          </w:tcPr>
          <w:p>
            <w:pPr>
              <w:spacing w:after="40" w:before="0" w:line="300"/>
              <w:jc w:val="left"/>
            </w:pPr>
            <w:r>
              <w:rPr>
                <w:rFonts w:ascii="Times New Roman" w:cs="Times New Roman" w:eastAsia="宋体" w:hAnsi="Times New Roman"/>
                <w:b/>
                <w:bCs/>
                <w:i w:val="false"/>
                <w:iCs w:val="false"/>
                <w:color w:val="212121"/>
                <w:sz w:val="21"/>
                <w:szCs w:val="21"/>
              </w:rPr>
              <w:t xml:space="preserve">🔁 评估费抵扣</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签约后续服务②数据建设、③供应商辅导、④注册上线时，已支付评估费按约定比例抵扣，评估数据不重复收费。</w:t>
            </w:r>
          </w:p>
        </w:tc>
      </w:tr>
    </w:tbl>
    <w:p>
      <w:pPr>
        <w:spacing w:after="80"/>
      </w:pP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第六部分 为什么选择我们</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072"/>
        <w:gridCol w:w="3072"/>
        <w:gridCol w:w="3072"/>
      </w:tblGrid>
      <w:tr>
        <w:trPr>
          <w:cantSplit/>
        </w:trPr>
        <w:tc>
          <w:tcPr>
            <w:tcW w:type="dxa" w:w="3072"/>
            <w:shd w:fill="F5F6FA" w:color="auto" w:val="clear"/>
            <w:tcMar>
              <w:top w:type="dxa" w:w="70"/>
              <w:left w:type="dxa" w:w="120"/>
              <w:bottom w:type="dxa" w:w="70"/>
              <w:right w:type="dxa" w:w="120"/>
            </w:tcMar>
            <w:vAlign w:val="center"/>
          </w:tcPr>
          <w:p>
            <w:pPr>
              <w:spacing w:after="60" w:before="60" w:line="300"/>
              <w:jc w:val="left"/>
            </w:pPr>
            <w:r>
              <w:rPr>
                <w:rFonts w:ascii="Times New Roman" w:cs="Times New Roman" w:eastAsia="宋体" w:hAnsi="Times New Roman"/>
                <w:b w:val="false"/>
                <w:bCs w:val="false"/>
                <w:i w:val="false"/>
                <w:iCs w:val="false"/>
                <w:color w:val="212121"/>
                <w:sz w:val="21"/>
                <w:szCs w:val="21"/>
              </w:rPr>
              <w:t xml:space="preserve">⚖️ 法规专业</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核心团队对(EU) 2023/1542有系统性研究，持续追踪授权法案、实施条例与欧委会数据点指南的更新（如Reg. 2025/1561对尽调日期的修订），判定口径始终与最新规则对齐。</w:t>
            </w:r>
          </w:p>
        </w:tc>
        <w:tc>
          <w:tcPr>
            <w:tcW w:type="dxa" w:w="3072"/>
            <w:shd w:fill="F5F6FA" w:color="auto" w:val="clear"/>
            <w:tcMar>
              <w:top w:type="dxa" w:w="70"/>
              <w:left w:type="dxa" w:w="120"/>
              <w:bottom w:type="dxa" w:w="70"/>
              <w:right w:type="dxa" w:w="120"/>
            </w:tcMar>
            <w:vAlign w:val="center"/>
          </w:tcPr>
          <w:p>
            <w:pPr>
              <w:spacing w:after="60" w:before="60" w:line="300"/>
              <w:jc w:val="left"/>
            </w:pPr>
            <w:r>
              <w:rPr>
                <w:rFonts w:ascii="Times New Roman" w:cs="Times New Roman" w:eastAsia="宋体" w:hAnsi="Times New Roman"/>
                <w:b w:val="false"/>
                <w:bCs w:val="false"/>
                <w:i w:val="false"/>
                <w:iCs w:val="false"/>
                <w:color w:val="212121"/>
                <w:sz w:val="21"/>
                <w:szCs w:val="21"/>
              </w:rPr>
              <w:t xml:space="preserve">🔋 电池行业理解</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不是通用合规咨询。我们理解电池分类、电芯/模组/PACK结构、BMS能力边界与正极材料—回收料供应链的真实运作方式，访谈问得准、结论落得了地。</w:t>
            </w:r>
          </w:p>
        </w:tc>
        <w:tc>
          <w:tcPr>
            <w:tcW w:type="dxa" w:w="3072"/>
            <w:shd w:fill="F5F6FA" w:color="auto" w:val="clear"/>
            <w:tcMar>
              <w:top w:type="dxa" w:w="70"/>
              <w:left w:type="dxa" w:w="120"/>
              <w:bottom w:type="dxa" w:w="70"/>
              <w:right w:type="dxa" w:w="120"/>
            </w:tcMar>
            <w:vAlign w:val="center"/>
          </w:tcPr>
          <w:p>
            <w:pPr>
              <w:spacing w:after="60" w:before="60" w:line="300"/>
              <w:jc w:val="left"/>
            </w:pPr>
            <w:r>
              <w:rPr>
                <w:rFonts w:ascii="Times New Roman" w:cs="Times New Roman" w:eastAsia="宋体" w:hAnsi="Times New Roman"/>
                <w:b w:val="false"/>
                <w:bCs w:val="false"/>
                <w:i w:val="false"/>
                <w:iCs w:val="false"/>
                <w:color w:val="212121"/>
                <w:sz w:val="21"/>
                <w:szCs w:val="21"/>
              </w:rPr>
              <w:t xml:space="preserve">🔧 工具化交付</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标准化核查清单、证据索引体系与六维加权评级模型，保证结果全面、可追溯、可复核——不依赖单个顾问的个人经验，结论一致性有制度保障。</w:t>
            </w:r>
          </w:p>
        </w:tc>
      </w:tr>
    </w:tbl>
    <w:p>
      <w:pPr>
        <w:spacing w:after="80"/>
      </w:pP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4608"/>
        <w:gridCol w:w="4608"/>
      </w:tblGrid>
      <w:tr>
        <w:trPr>
          <w:cantSplit/>
        </w:trPr>
        <w:tc>
          <w:tcPr>
            <w:tcW w:type="dxa" w:w="4608"/>
            <w:shd w:fill="F5F6FA" w:color="auto" w:val="clear"/>
            <w:tcMar>
              <w:top w:type="dxa" w:w="70"/>
              <w:left w:type="dxa" w:w="120"/>
              <w:bottom w:type="dxa" w:w="70"/>
              <w:right w:type="dxa" w:w="120"/>
            </w:tcMar>
            <w:vAlign w:val="center"/>
          </w:tcPr>
          <w:p>
            <w:pPr>
              <w:spacing w:after="60" w:before="60" w:line="300"/>
              <w:jc w:val="left"/>
            </w:pPr>
            <w:r>
              <w:rPr>
                <w:rFonts w:ascii="Times New Roman" w:cs="Times New Roman" w:eastAsia="宋体" w:hAnsi="Times New Roman"/>
                <w:b w:val="false"/>
                <w:bCs w:val="false"/>
                <w:i w:val="false"/>
                <w:iCs w:val="false"/>
                <w:color w:val="212121"/>
                <w:sz w:val="21"/>
                <w:szCs w:val="21"/>
              </w:rPr>
              <w:t xml:space="preserve">🔗 全链条服务</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评估→数据建设→供应商辅导→注册上线→年度托管一站式衔接，评估成果直接转化为执行需求，避免“咨询归咨询、落地从零再来”的断层与重复支出。</w:t>
            </w:r>
          </w:p>
        </w:tc>
        <w:tc>
          <w:tcPr>
            <w:tcW w:type="dxa" w:w="4608"/>
            <w:shd w:fill="F5F6FA" w:color="auto" w:val="clear"/>
            <w:tcMar>
              <w:top w:type="dxa" w:w="70"/>
              <w:left w:type="dxa" w:w="120"/>
              <w:bottom w:type="dxa" w:w="70"/>
              <w:right w:type="dxa" w:w="120"/>
            </w:tcMar>
            <w:vAlign w:val="center"/>
          </w:tcPr>
          <w:p>
            <w:pPr>
              <w:spacing w:after="60" w:before="60" w:line="300"/>
              <w:jc w:val="left"/>
            </w:pPr>
            <w:r>
              <w:rPr>
                <w:rFonts w:ascii="Times New Roman" w:cs="Times New Roman" w:eastAsia="宋体" w:hAnsi="Times New Roman"/>
                <w:b w:val="false"/>
                <w:bCs w:val="false"/>
                <w:i w:val="false"/>
                <w:iCs w:val="false"/>
                <w:color w:val="212121"/>
                <w:sz w:val="21"/>
                <w:szCs w:val="21"/>
              </w:rPr>
              <w:t xml:space="preserve">🔒 保密安全</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NDA双向保密 + 加密文件传输通道 + 项目权限管控，产品配方、BOM、供应商与价格信息全程受控；项目结束按约定清理或归档资料。</w:t>
            </w:r>
          </w:p>
        </w:tc>
      </w:tr>
    </w:tbl>
    <w:p>
      <w:pPr>
        <w:spacing w:after="80"/>
      </w:pP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第七部分 常见问题</w:t>
      </w:r>
    </w:p>
    <w:p>
      <w:pPr>
        <w:spacing w:after="110" w:before="0" w:line="300"/>
        <w:jc w:val="left"/>
      </w:pPr>
      <w:r>
        <w:rPr>
          <w:rFonts w:ascii="Times New Roman" w:cs="Times New Roman" w:eastAsia="宋体" w:hAnsi="Times New Roman"/>
          <w:b w:val="false"/>
          <w:bCs w:val="false"/>
          <w:i w:val="false"/>
          <w:iCs w:val="false"/>
          <w:color w:val="212121"/>
          <w:sz w:val="21"/>
          <w:szCs w:val="21"/>
        </w:rPr>
        <w:t xml:space="preserve">以下是客户最常问到的10个问题。如还有其他疑问，欢迎直接联系项目经理。</w:t>
      </w:r>
    </w:p>
    <w:p>
      <w:pPr>
        <w:shd w:fill="E8EAF6" w:color="auto" w:val="clear"/>
        <w:spacing w:after="80" w:before="200"/>
      </w:pPr>
      <w:r>
        <w:rPr>
          <w:rFonts w:ascii="Times New Roman" w:cs="Times New Roman" w:eastAsia="黑体" w:hAnsi="Times New Roman"/>
          <w:b/>
          <w:bCs/>
          <w:color w:val="1A237E"/>
          <w:sz w:val="22"/>
          <w:szCs w:val="22"/>
        </w:rPr>
        <w:t xml:space="preserve">Q1：什么是电池护照？</w:t>
      </w:r>
    </w:p>
    <w:p>
      <w:pPr>
        <w:spacing w:after="140" w:before="0" w:line="320"/>
        <w:ind w:left="120"/>
      </w:pPr>
      <w:r>
        <w:rPr>
          <w:rFonts w:ascii="Times New Roman" w:cs="Times New Roman" w:eastAsia="宋体" w:hAnsi="Times New Roman"/>
          <w:color w:val="333333"/>
          <w:sz w:val="21"/>
          <w:szCs w:val="21"/>
        </w:rPr>
        <w:t xml:space="preserve">电池护照（Digital Battery Passport，DPP）是欧盟电池法规(EU) 2023/1542要求的数字产品护照。每一块适用电池都将获得item级唯一标识符和QR码，扫码即可访问该电池的完整信息——制造信息、化学成分、碳足迹、性能参数、再生材料含量、健康状态等71个数据点。它不是纸面证书，而是贯穿电池全生命周期、由责任方持续维护更新的数字档案；监管机构、维修商、回收商等按法定层级获得不同范围的访问权限。</w:t>
      </w:r>
    </w:p>
    <w:p>
      <w:pPr>
        <w:shd w:fill="E8EAF6" w:color="auto" w:val="clear"/>
        <w:spacing w:after="80" w:before="200"/>
      </w:pPr>
      <w:r>
        <w:rPr>
          <w:rFonts w:ascii="Times New Roman" w:cs="Times New Roman" w:eastAsia="黑体" w:hAnsi="Times New Roman"/>
          <w:b/>
          <w:bCs/>
          <w:color w:val="1A237E"/>
          <w:sz w:val="22"/>
          <w:szCs w:val="22"/>
        </w:rPr>
        <w:t xml:space="preserve">Q2：我的产品需要电池护照吗？</w:t>
      </w:r>
    </w:p>
    <w:p>
      <w:pPr>
        <w:spacing w:after="140" w:before="0" w:line="320"/>
        <w:ind w:left="120"/>
      </w:pPr>
      <w:r>
        <w:rPr>
          <w:rFonts w:ascii="Times New Roman" w:cs="Times New Roman" w:eastAsia="宋体" w:hAnsi="Times New Roman"/>
          <w:color w:val="333333"/>
          <w:sz w:val="21"/>
          <w:szCs w:val="21"/>
        </w:rPr>
        <w:t xml:space="preserve">取决于电池类型，与企业规模无关。自2027年2月18日起，以下三类电池投放欧盟市场或投入使用时强制携带护照：EV电池（为混合动力/纯电动车辆牵引供电）、LMT电池（≤25kg，为电动自行车、电动滑板车等轻型交通工具供电）、容量&gt;2kWh的可充电工业电池（含固定储能系统电池）。便携式电池（≤5kg密封）与SLI电池（启动/照明/点火）不要求护照，但仍须满足标签、EPR注册、有害物质限制等义务。判断不准时，我们会在S2阶段依据规格书逐SKU判定并由双方书面确认。</w:t>
      </w:r>
    </w:p>
    <w:p>
      <w:pPr>
        <w:shd w:fill="E8EAF6" w:color="auto" w:val="clear"/>
        <w:spacing w:after="80" w:before="200"/>
      </w:pPr>
      <w:r>
        <w:rPr>
          <w:rFonts w:ascii="Times New Roman" w:cs="Times New Roman" w:eastAsia="黑体" w:hAnsi="Times New Roman"/>
          <w:b/>
          <w:bCs/>
          <w:color w:val="1A237E"/>
          <w:sz w:val="22"/>
          <w:szCs w:val="22"/>
        </w:rPr>
        <w:t xml:space="preserve">Q3：71个数据点和32项核查是什么关系？</w:t>
      </w:r>
    </w:p>
    <w:p>
      <w:pPr>
        <w:spacing w:after="140" w:before="0" w:line="320"/>
        <w:ind w:left="120"/>
      </w:pPr>
      <w:r>
        <w:rPr>
          <w:rFonts w:ascii="Times New Roman" w:cs="Times New Roman" w:eastAsia="宋体" w:hAnsi="Times New Roman"/>
          <w:color w:val="333333"/>
          <w:sz w:val="21"/>
          <w:szCs w:val="21"/>
        </w:rPr>
        <w:t xml:space="preserve">两者是“数据”与“体检项”的关系。71个数据点是护照中最终要填报的具体字段，分9大类，是数据准备的对象；32项核查是评估阶段使用的专业检查清单（A-F六维度），每个核查项可能同时检验多个数据点的“有没有、对不对、全不全、新不新”。简单说：评估阶段用32项快速定位差距和根因，整改阶段对照71项逐项填报。正式交付的《71项核查工作表》会把两者对应关系全部打通，后续数据建设可直接以此为底稿。</w:t>
      </w:r>
    </w:p>
    <w:p>
      <w:pPr>
        <w:shd w:fill="E8EAF6" w:color="auto" w:val="clear"/>
        <w:spacing w:after="80" w:before="200"/>
      </w:pPr>
      <w:r>
        <w:rPr>
          <w:rFonts w:ascii="Times New Roman" w:cs="Times New Roman" w:eastAsia="黑体" w:hAnsi="Times New Roman"/>
          <w:b/>
          <w:bCs/>
          <w:color w:val="1A237E"/>
          <w:sz w:val="22"/>
          <w:szCs w:val="22"/>
        </w:rPr>
        <w:t xml:space="preserve">Q4：评估需要我提供什么资料？会不会占用很多人手？</w:t>
      </w:r>
    </w:p>
    <w:p>
      <w:pPr>
        <w:spacing w:after="140" w:before="0" w:line="320"/>
        <w:ind w:left="120"/>
      </w:pPr>
      <w:r>
        <w:rPr>
          <w:rFonts w:ascii="Times New Roman" w:cs="Times New Roman" w:eastAsia="宋体" w:hAnsi="Times New Roman"/>
          <w:color w:val="333333"/>
          <w:sz w:val="21"/>
          <w:szCs w:val="21"/>
        </w:rPr>
        <w:t xml:space="preserve">主要资料包括：企业基本信息（营业执照、海关出口记录）、产品清单与规格书、现有认证文件（CE、UL、UN38.3、IEC等）、技术文件与检测报告、一级/关键二级供应商概况。我们会通过结构化采集表和约2小时启动访谈引导您提供，不需要您提前整理齐全——评估本身就是帮您梳理。人员投入方面：一名项目经理统筹，各部门各安排一次45-60分钟访谈并按清单提供文件即可，系统类核查可现场演示，不要求开放源码或底层数据。</w:t>
      </w:r>
    </w:p>
    <w:p>
      <w:pPr>
        <w:shd w:fill="E8EAF6" w:color="auto" w:val="clear"/>
        <w:spacing w:after="80" w:before="200"/>
      </w:pPr>
      <w:r>
        <w:rPr>
          <w:rFonts w:ascii="Times New Roman" w:cs="Times New Roman" w:eastAsia="黑体" w:hAnsi="Times New Roman"/>
          <w:b/>
          <w:bCs/>
          <w:color w:val="1A237E"/>
          <w:sz w:val="22"/>
          <w:szCs w:val="22"/>
        </w:rPr>
        <w:t xml:space="preserve">Q5：评估周期多长？时间从哪天开始算？</w:t>
      </w:r>
    </w:p>
    <w:p>
      <w:pPr>
        <w:spacing w:after="140" w:before="0" w:line="320"/>
        <w:ind w:left="120"/>
      </w:pPr>
      <w:r>
        <w:rPr>
          <w:rFonts w:ascii="Times New Roman" w:cs="Times New Roman" w:eastAsia="宋体" w:hAnsi="Times New Roman"/>
          <w:color w:val="333333"/>
          <w:sz w:val="21"/>
          <w:szCs w:val="21"/>
        </w:rPr>
        <w:t xml:space="preserve">各档位周期：基础版5-8个工作日、标准版8-15个工作日、旗舰版15-20个工作日（现场汇报/工作坊时间另约）。周期自合同生效且采集表等基础信息到位后起算。若贵司供应商数据回收周期较长，我们会在S2结束时如实评估并在启动书中写明，避免后期被动；需要压缩周期可选择加急服务（加收30%）。</w:t>
      </w:r>
    </w:p>
    <w:p>
      <w:pPr>
        <w:shd w:fill="E8EAF6" w:color="auto" w:val="clear"/>
        <w:spacing w:after="80" w:before="200"/>
      </w:pPr>
      <w:r>
        <w:rPr>
          <w:rFonts w:ascii="Times New Roman" w:cs="Times New Roman" w:eastAsia="黑体" w:hAnsi="Times New Roman"/>
          <w:b/>
          <w:bCs/>
          <w:color w:val="1A237E"/>
          <w:sz w:val="22"/>
          <w:szCs w:val="22"/>
        </w:rPr>
        <w:t xml:space="preserve">Q6：评估结果出来后，你们能帮我落地整改吗？</w:t>
      </w:r>
    </w:p>
    <w:p>
      <w:pPr>
        <w:spacing w:after="140" w:before="0" w:line="320"/>
        <w:ind w:left="120"/>
      </w:pPr>
      <w:r>
        <w:rPr>
          <w:rFonts w:ascii="Times New Roman" w:cs="Times New Roman" w:eastAsia="宋体" w:hAnsi="Times New Roman"/>
          <w:color w:val="333333"/>
          <w:sz w:val="21"/>
          <w:szCs w:val="21"/>
        </w:rPr>
        <w:t xml:space="preserve">可以，且评估成果会直接转化为整改输入。后续服务包括：②数据建设（数据手册编制、字段与流程落地）、③供应商辅导（问卷、数据采集SOP与谈判推进）、④注册上线（QR码方案、系统对接、护照数据提交）、年度合规托管。可整体委托，也可按阶段分别推进。旗舰版含3个月整改辅导期与现场工作坊；签约后续服务时，已支付的评估费按约定抵扣。</w:t>
      </w:r>
    </w:p>
    <w:p>
      <w:pPr>
        <w:shd w:fill="E8EAF6" w:color="auto" w:val="clear"/>
        <w:spacing w:after="80" w:before="200"/>
      </w:pPr>
      <w:r>
        <w:rPr>
          <w:rFonts w:ascii="Times New Roman" w:cs="Times New Roman" w:eastAsia="黑体" w:hAnsi="Times New Roman"/>
          <w:b/>
          <w:bCs/>
          <w:color w:val="1A237E"/>
          <w:sz w:val="22"/>
          <w:szCs w:val="22"/>
        </w:rPr>
        <w:t xml:space="preserve">Q7：你们的评估和第三方认证/审计有什么区别？</w:t>
      </w:r>
    </w:p>
    <w:p>
      <w:pPr>
        <w:spacing w:after="140" w:before="0" w:line="320"/>
        <w:ind w:left="120"/>
      </w:pPr>
      <w:r>
        <w:rPr>
          <w:rFonts w:ascii="Times New Roman" w:cs="Times New Roman" w:eastAsia="宋体" w:hAnsi="Times New Roman"/>
          <w:color w:val="333333"/>
          <w:sz w:val="21"/>
          <w:szCs w:val="21"/>
        </w:rPr>
        <w:t xml:space="preserve">性质不同、阶段不同。公告机构/第三方机构执行的是合格评定与正式核验，出具的是具有法定效力的认证结论；我们的差距评估是正式认证之前的“诊断”——提前发现缺口、量化合规水位、分析根因并规划整改路径，相当于体检前的预检。评估不替代法定合格评定，也不收取第三方机构费用，但能让您在进入正式流程时一次通过率更高、整改返工更少、整体周期更短。</w:t>
      </w:r>
    </w:p>
    <w:p>
      <w:pPr>
        <w:shd w:fill="E8EAF6" w:color="auto" w:val="clear"/>
        <w:spacing w:after="80" w:before="200"/>
      </w:pPr>
      <w:r>
        <w:rPr>
          <w:rFonts w:ascii="Times New Roman" w:cs="Times New Roman" w:eastAsia="黑体" w:hAnsi="Times New Roman"/>
          <w:b/>
          <w:bCs/>
          <w:color w:val="1A237E"/>
          <w:sz w:val="22"/>
          <w:szCs w:val="22"/>
        </w:rPr>
        <w:t xml:space="preserve">Q8：我的产品还没出口欧盟，现在有必要做评估吗？</w:t>
      </w:r>
    </w:p>
    <w:p>
      <w:pPr>
        <w:spacing w:after="140" w:before="0" w:line="320"/>
        <w:ind w:left="120"/>
      </w:pPr>
      <w:r>
        <w:rPr>
          <w:rFonts w:ascii="Times New Roman" w:cs="Times New Roman" w:eastAsia="宋体" w:hAnsi="Times New Roman"/>
          <w:color w:val="333333"/>
          <w:sz w:val="21"/>
          <w:szCs w:val="21"/>
        </w:rPr>
        <w:t xml:space="preserve">如果计划在欧盟市场销售适用类型电池，建议尽早评估。法规约束的是“投放欧盟市场”的时点，2027年2月18日对所有企业统一适用，不会因为您首次出口而宽限。而供应商数据链路、碳足迹研究、IT系统改造往往是最长周期项，越早启动选择越多、成本越低。若暂无明确出口计划，可先使用免费线上自测（18题、约5分钟）了解大致差距，并订阅法规更新通知，待计划明确后再做正式评估。</w:t>
      </w:r>
    </w:p>
    <w:p>
      <w:pPr>
        <w:shd w:fill="E8EAF6" w:color="auto" w:val="clear"/>
        <w:spacing w:after="80" w:before="200"/>
      </w:pPr>
      <w:r>
        <w:rPr>
          <w:rFonts w:ascii="Times New Roman" w:cs="Times New Roman" w:eastAsia="黑体" w:hAnsi="Times New Roman"/>
          <w:b/>
          <w:bCs/>
          <w:color w:val="1A237E"/>
          <w:sz w:val="22"/>
          <w:szCs w:val="22"/>
        </w:rPr>
        <w:t xml:space="preserve">Q9：评估费用怎么支付？报价还会有额外支出吗？</w:t>
      </w:r>
    </w:p>
    <w:p>
      <w:pPr>
        <w:spacing w:after="140" w:before="0" w:line="320"/>
        <w:ind w:left="120"/>
      </w:pPr>
      <w:r>
        <w:rPr>
          <w:rFonts w:ascii="Times New Roman" w:cs="Times New Roman" w:eastAsia="宋体" w:hAnsi="Times New Roman"/>
          <w:color w:val="333333"/>
          <w:sz w:val="21"/>
          <w:szCs w:val="21"/>
        </w:rPr>
        <w:t xml:space="preserve">服务费分两期支付：签约时50%、报告交付验收后50%，对公转账。服务费之外可能发生的只有两项：一是现场服务的差旅费用（据实结算，远程交付则不产生）；二是贵司自行委托第三方检测/认证及欧盟注册的费用（属于第三方收费，不经过我方，我们会在报告中列明建议项供您决策）。评估范围内不存在隐性收费。</w:t>
      </w:r>
    </w:p>
    <w:p>
      <w:pPr>
        <w:shd w:fill="E8EAF6" w:color="auto" w:val="clear"/>
        <w:spacing w:after="80" w:before="200"/>
      </w:pPr>
      <w:r>
        <w:rPr>
          <w:rFonts w:ascii="Times New Roman" w:cs="Times New Roman" w:eastAsia="黑体" w:hAnsi="Times New Roman"/>
          <w:b/>
          <w:bCs/>
          <w:color w:val="1A237E"/>
          <w:sz w:val="22"/>
          <w:szCs w:val="22"/>
        </w:rPr>
        <w:t xml:space="preserve">Q10：如果评估期间法规又更新了怎么办？</w:t>
      </w:r>
    </w:p>
    <w:p>
      <w:pPr>
        <w:spacing w:after="140" w:before="0" w:line="320"/>
        <w:ind w:left="120"/>
      </w:pPr>
      <w:r>
        <w:rPr>
          <w:rFonts w:ascii="Times New Roman" w:cs="Times New Roman" w:eastAsia="宋体" w:hAnsi="Times New Roman"/>
          <w:color w:val="333333"/>
          <w:sz w:val="21"/>
          <w:szCs w:val="21"/>
        </w:rPr>
        <w:t xml:space="preserve">我们持续跟踪法规与授权法案动态，评估全程以最新生效规则为口径，S3适配确认时会明确标注“待细则确认”事项。报告交付后，标准版30天内、旗舰版90天内因法规细则更新或贵司补充资料导致的结论变化，免费更新报告；超出更新期的重大法规变化，可在后续年度托管服务中覆盖。您不会拿着一份交付即过时的报告做决策。</w:t>
      </w: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第八部分 立即开始</w:t>
      </w:r>
    </w:p>
    <w:tbl>
      <w:tblPr>
        <w:tblW w:type="dxa" w:w="9216"/>
        <w:tblBorders>
          <w:top w:val="none" w:color="FFFFFF" w:sz="0"/>
          <w:left w:val="none" w:color="FFFFFF" w:sz="0"/>
          <w:bottom w:val="none" w:color="FFFFFF" w:sz="0"/>
          <w:right w:val="none" w:color="FFFFFF" w:sz="0"/>
          <w:insideH w:val="none" w:color="FFFFFF" w:sz="0"/>
          <w:insideV w:val="none" w:color="FFFFFF" w:sz="0"/>
        </w:tblBorders>
      </w:tblPr>
      <w:tblGrid>
        <w:gridCol w:w="9216"/>
      </w:tblGrid>
      <w:tr>
        <w:tc>
          <w:tcPr>
            <w:tcW w:type="dxa" w:w="9216"/>
            <w:shd w:fill="1A237E" w:color="auto" w:val="clear"/>
            <w:tcMar>
              <w:top w:type="dxa" w:w="360"/>
              <w:left w:type="dxa" w:w="400"/>
              <w:bottom w:type="dxa" w:w="360"/>
              <w:right w:type="dxa" w:w="400"/>
            </w:tcMar>
          </w:tcPr>
          <w:p>
            <w:pPr>
              <w:spacing w:after="200" w:before="0" w:line="340"/>
              <w:jc w:val="center"/>
            </w:pPr>
            <w:r>
              <w:rPr>
                <w:rFonts w:ascii="Times New Roman" w:cs="Times New Roman" w:eastAsia="宋体" w:hAnsi="Times New Roman"/>
                <w:b/>
                <w:bCs/>
                <w:color w:val="FFFFFF"/>
                <w:sz w:val="22"/>
                <w:szCs w:val="22"/>
              </w:rPr>
              <w:t xml:space="preserve">准备好开始了吗？</w:t>
            </w:r>
          </w:p>
          <w:p>
            <w:pPr>
              <w:spacing w:after="120" w:before="0" w:line="340"/>
              <w:jc w:val="center"/>
            </w:pPr>
            <w:r>
              <w:rPr>
                <w:rFonts w:ascii="Times New Roman" w:cs="Times New Roman" w:eastAsia="宋体" w:hAnsi="Times New Roman"/>
                <w:b w:val="false"/>
                <w:bCs w:val="false"/>
                <w:color w:val="FFFFFF"/>
                <w:sz w:val="22"/>
                <w:szCs w:val="22"/>
              </w:rPr>
              <w:t xml:space="preserve">距离2027年2月18日强制生效，时间窗口正在收窄。</w:t>
            </w:r>
          </w:p>
          <w:p>
            <w:pPr>
              <w:spacing w:after="120" w:before="0" w:line="340"/>
              <w:jc w:val="center"/>
            </w:pPr>
            <w:r>
              <w:rPr>
                <w:rFonts w:ascii="Times New Roman" w:cs="Times New Roman" w:eastAsia="宋体" w:hAnsi="Times New Roman"/>
                <w:b w:val="false"/>
                <w:bCs w:val="false"/>
                <w:color w:val="FFFFFF"/>
                <w:sz w:val="22"/>
                <w:szCs w:val="22"/>
              </w:rPr>
              <w:t xml:space="preserve">现在就行动，用最短的时间摸清差距全貌、锁定整改优先级。</w:t>
            </w:r>
          </w:p>
        </w:tc>
      </w:tr>
    </w:tbl>
    <w:p>
      <w:pPr>
        <w:spacing w:after="100"/>
      </w:pPr>
    </w:p>
    <w:p>
      <w:pPr>
        <w:spacing w:after="110" w:before="160" w:line="300"/>
        <w:jc w:val="left"/>
      </w:pPr>
      <w:r>
        <w:rPr>
          <w:rFonts w:ascii="Times New Roman" w:cs="Times New Roman" w:eastAsia="宋体" w:hAnsi="Times New Roman"/>
          <w:b/>
          <w:bCs/>
          <w:i w:val="false"/>
          <w:iCs w:val="false"/>
          <w:color w:val="212121"/>
          <w:sz w:val="21"/>
          <w:szCs w:val="21"/>
        </w:rPr>
        <w:t xml:space="preserve">行动选项：</w:t>
      </w:r>
    </w:p>
    <w:p>
      <w:pPr>
        <w:pStyle w:val="ListParagraph"/>
        <w:numPr>
          <w:ilvl w:val="0"/>
          <w:numId w:val="17"/>
        </w:numPr>
        <w:spacing w:after="70" w:before="0" w:line="300"/>
      </w:pPr>
      <w:r>
        <w:rPr>
          <w:rFonts w:ascii="Times New Roman" w:cs="Times New Roman" w:eastAsia="宋体" w:hAnsi="Times New Roman"/>
          <w:b w:val="false"/>
          <w:bCs w:val="false"/>
          <w:i w:val="false"/>
          <w:iCs w:val="false"/>
          <w:color w:val="212121"/>
          <w:sz w:val="21"/>
          <w:szCs w:val="21"/>
        </w:rPr>
        <w:t xml:space="preserve">📧 联系我们，预约评估</w:t>
      </w:r>
    </w:p>
    <w:p>
      <w:pPr>
        <w:pStyle w:val="ListParagraph"/>
        <w:numPr>
          <w:ilvl w:val="0"/>
          <w:numId w:val="17"/>
        </w:numPr>
        <w:spacing w:after="70" w:before="0" w:line="300"/>
      </w:pPr>
      <w:r>
        <w:rPr>
          <w:rFonts w:ascii="Times New Roman" w:cs="Times New Roman" w:eastAsia="宋体" w:hAnsi="Times New Roman"/>
          <w:b w:val="false"/>
          <w:bCs w:val="false"/>
          <w:i w:val="false"/>
          <w:iCs w:val="false"/>
          <w:color w:val="212121"/>
          <w:sz w:val="21"/>
          <w:szCs w:val="21"/>
        </w:rPr>
        <w:t xml:space="preserve">📝 先做免费自测（18题，5分钟）</w:t>
      </w:r>
    </w:p>
    <w:p>
      <w:pPr>
        <w:spacing w:after="110" w:before="120" w:line="300"/>
        <w:jc w:val="left"/>
      </w:pPr>
      <w:r>
        <w:rPr>
          <w:rFonts w:ascii="Times New Roman" w:cs="Times New Roman" w:eastAsia="宋体" w:hAnsi="Times New Roman"/>
          <w:b/>
          <w:bCs/>
          <w:i w:val="false"/>
          <w:iCs w:val="false"/>
          <w:color w:val="212121"/>
          <w:sz w:val="21"/>
          <w:szCs w:val="21"/>
        </w:rPr>
        <w:t xml:space="preserve">启动流程</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304"/>
        <w:gridCol w:w="2304"/>
        <w:gridCol w:w="2304"/>
        <w:gridCol w:w="2304"/>
      </w:tblGrid>
      <w:tr>
        <w:trPr>
          <w:cantSplit/>
        </w:trPr>
        <w:tc>
          <w:tcPr>
            <w:tcW w:type="dxa" w:w="2304"/>
            <w:shd w:fill="F5F6FA" w:color="auto" w:val="clear"/>
            <w:tcMar>
              <w:top w:type="dxa" w:w="70"/>
              <w:left w:type="dxa" w:w="120"/>
              <w:bottom w:type="dxa" w:w="70"/>
              <w:right w:type="dxa" w:w="120"/>
            </w:tcMar>
            <w:vAlign w:val="center"/>
          </w:tcPr>
          <w:p>
            <w:pPr>
              <w:spacing w:after="40" w:before="0" w:line="300"/>
              <w:jc w:val="center"/>
            </w:pPr>
            <w:r>
              <w:rPr>
                <w:rFonts w:ascii="Times New Roman" w:cs="Times New Roman" w:eastAsia="宋体" w:hAnsi="Times New Roman"/>
                <w:b/>
                <w:bCs/>
                <w:i w:val="false"/>
                <w:iCs w:val="false"/>
                <w:color w:val="2E7D32"/>
                <w:sz w:val="21"/>
                <w:szCs w:val="21"/>
              </w:rPr>
              <w:t xml:space="preserve">1</w:t>
            </w:r>
          </w:p>
          <w:p>
            <w:pPr>
              <w:spacing w:after="70" w:before="0" w:line="300"/>
              <w:jc w:val="center"/>
            </w:pPr>
            <w:r>
              <w:rPr>
                <w:rFonts w:ascii="Times New Roman" w:cs="Times New Roman" w:eastAsia="宋体" w:hAnsi="Times New Roman"/>
                <w:b w:val="false"/>
                <w:bCs w:val="false"/>
                <w:i w:val="false"/>
                <w:iCs w:val="false"/>
                <w:color w:val="212121"/>
                <w:sz w:val="21"/>
                <w:szCs w:val="21"/>
              </w:rPr>
              <w:t xml:space="preserve">签署NDA与服务协议</w:t>
            </w:r>
          </w:p>
        </w:tc>
        <w:tc>
          <w:tcPr>
            <w:tcW w:type="dxa" w:w="2304"/>
            <w:shd w:fill="F5F6FA" w:color="auto" w:val="clear"/>
            <w:tcMar>
              <w:top w:type="dxa" w:w="70"/>
              <w:left w:type="dxa" w:w="120"/>
              <w:bottom w:type="dxa" w:w="70"/>
              <w:right w:type="dxa" w:w="120"/>
            </w:tcMar>
            <w:vAlign w:val="center"/>
          </w:tcPr>
          <w:p>
            <w:pPr>
              <w:spacing w:after="40" w:before="0" w:line="300"/>
              <w:jc w:val="center"/>
            </w:pPr>
            <w:r>
              <w:rPr>
                <w:rFonts w:ascii="Times New Roman" w:cs="Times New Roman" w:eastAsia="宋体" w:hAnsi="Times New Roman"/>
                <w:b/>
                <w:bCs/>
                <w:i w:val="false"/>
                <w:iCs w:val="false"/>
                <w:color w:val="2E7D32"/>
                <w:sz w:val="21"/>
                <w:szCs w:val="21"/>
              </w:rPr>
              <w:t xml:space="preserve">2</w:t>
            </w:r>
          </w:p>
          <w:p>
            <w:pPr>
              <w:spacing w:after="70" w:before="0" w:line="300"/>
              <w:jc w:val="center"/>
            </w:pPr>
            <w:r>
              <w:rPr>
                <w:rFonts w:ascii="Times New Roman" w:cs="Times New Roman" w:eastAsia="宋体" w:hAnsi="Times New Roman"/>
                <w:b w:val="false"/>
                <w:bCs w:val="false"/>
                <w:i w:val="false"/>
                <w:iCs w:val="false"/>
                <w:color w:val="212121"/>
                <w:sz w:val="21"/>
                <w:szCs w:val="21"/>
              </w:rPr>
              <w:t xml:space="preserve">信息采集与范围确认</w:t>
            </w:r>
          </w:p>
        </w:tc>
        <w:tc>
          <w:tcPr>
            <w:tcW w:type="dxa" w:w="2304"/>
            <w:shd w:fill="F5F6FA" w:color="auto" w:val="clear"/>
            <w:tcMar>
              <w:top w:type="dxa" w:w="70"/>
              <w:left w:type="dxa" w:w="120"/>
              <w:bottom w:type="dxa" w:w="70"/>
              <w:right w:type="dxa" w:w="120"/>
            </w:tcMar>
            <w:vAlign w:val="center"/>
          </w:tcPr>
          <w:p>
            <w:pPr>
              <w:spacing w:after="40" w:before="0" w:line="300"/>
              <w:jc w:val="center"/>
            </w:pPr>
            <w:r>
              <w:rPr>
                <w:rFonts w:ascii="Times New Roman" w:cs="Times New Roman" w:eastAsia="宋体" w:hAnsi="Times New Roman"/>
                <w:b/>
                <w:bCs/>
                <w:i w:val="false"/>
                <w:iCs w:val="false"/>
                <w:color w:val="2E7D32"/>
                <w:sz w:val="21"/>
                <w:szCs w:val="21"/>
              </w:rPr>
              <w:t xml:space="preserve">3</w:t>
            </w:r>
          </w:p>
          <w:p>
            <w:pPr>
              <w:spacing w:after="70" w:before="0" w:line="300"/>
              <w:jc w:val="center"/>
            </w:pPr>
            <w:r>
              <w:rPr>
                <w:rFonts w:ascii="Times New Roman" w:cs="Times New Roman" w:eastAsia="宋体" w:hAnsi="Times New Roman"/>
                <w:b w:val="false"/>
                <w:bCs w:val="false"/>
                <w:i w:val="false"/>
                <w:iCs w:val="false"/>
                <w:color w:val="212121"/>
                <w:sz w:val="21"/>
                <w:szCs w:val="21"/>
              </w:rPr>
              <w:t xml:space="preserve">法规适配与现状核查</w:t>
            </w:r>
          </w:p>
        </w:tc>
        <w:tc>
          <w:tcPr>
            <w:tcW w:type="dxa" w:w="2304"/>
            <w:shd w:fill="F5F6FA" w:color="auto" w:val="clear"/>
            <w:tcMar>
              <w:top w:type="dxa" w:w="70"/>
              <w:left w:type="dxa" w:w="120"/>
              <w:bottom w:type="dxa" w:w="70"/>
              <w:right w:type="dxa" w:w="120"/>
            </w:tcMar>
            <w:vAlign w:val="center"/>
          </w:tcPr>
          <w:p>
            <w:pPr>
              <w:spacing w:after="40" w:before="0" w:line="300"/>
              <w:jc w:val="center"/>
            </w:pPr>
            <w:r>
              <w:rPr>
                <w:rFonts w:ascii="Times New Roman" w:cs="Times New Roman" w:eastAsia="宋体" w:hAnsi="Times New Roman"/>
                <w:b/>
                <w:bCs/>
                <w:i w:val="false"/>
                <w:iCs w:val="false"/>
                <w:color w:val="2E7D32"/>
                <w:sz w:val="21"/>
                <w:szCs w:val="21"/>
              </w:rPr>
              <w:t xml:space="preserve">4</w:t>
            </w:r>
          </w:p>
          <w:p>
            <w:pPr>
              <w:spacing w:after="70" w:before="0" w:line="300"/>
              <w:jc w:val="center"/>
            </w:pPr>
            <w:r>
              <w:rPr>
                <w:rFonts w:ascii="Times New Roman" w:cs="Times New Roman" w:eastAsia="宋体" w:hAnsi="Times New Roman"/>
                <w:b w:val="false"/>
                <w:bCs w:val="false"/>
                <w:i w:val="false"/>
                <w:iCs w:val="false"/>
                <w:color w:val="212121"/>
                <w:sz w:val="21"/>
                <w:szCs w:val="21"/>
              </w:rPr>
              <w:t xml:space="preserve">报告交付与整改衔接</w:t>
            </w:r>
          </w:p>
        </w:tc>
      </w:tr>
    </w:tbl>
    <w:p>
      <w:pPr>
        <w:spacing w:after="80"/>
      </w:pPr>
    </w:p>
    <w:tbl>
      <w:tblPr>
        <w:tblW w:type="dxa" w:w="9216"/>
        <w:tblBorders>
          <w:top w:val="none" w:color="FFFFFF" w:sz="0"/>
          <w:left w:val="single" w:color="0D47A1" w:sz="18"/>
          <w:bottom w:val="none" w:color="FFFFFF" w:sz="0"/>
          <w:right w:val="none" w:color="FFFFFF" w:sz="0"/>
          <w:insideH w:val="none" w:color="FFFFFF" w:sz="0"/>
          <w:insideV w:val="none" w:color="FFFFFF" w:sz="0"/>
        </w:tblBorders>
      </w:tblPr>
      <w:tblGrid>
        <w:gridCol w:w="9216"/>
      </w:tblGrid>
      <w:tr>
        <w:tc>
          <w:tcPr>
            <w:tcW w:type="dxa" w:w="9216"/>
            <w:shd w:fill="E3F2FD"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0D47A1"/>
                <w:sz w:val="22"/>
                <w:szCs w:val="22"/>
              </w:rPr>
              <w:t xml:space="preserve">📧 联系方式</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联系邮箱：</w:t>
            </w:r>
            <w:r>
              <w:rPr>
                <w:rFonts w:ascii="Times New Roman" w:cs="Times New Roman" w:eastAsia="宋体" w:hAnsi="Times New Roman"/>
                <w:b/>
                <w:bCs/>
                <w:i w:val="false"/>
                <w:iCs w:val="false"/>
                <w:color w:val="212121"/>
                <w:sz w:val="21"/>
                <w:szCs w:val="21"/>
              </w:rPr>
              <w:t xml:space="preserve">dpp@shouxincaishui.com</w:t>
            </w:r>
            <w:r>
              <w:rPr>
                <w:rFonts w:ascii="Times New Roman" w:cs="Times New Roman" w:eastAsia="宋体" w:hAnsi="Times New Roman"/>
                <w:b w:val="false"/>
                <w:bCs w:val="false"/>
                <w:i w:val="false"/>
                <w:iCs w:val="false"/>
                <w:color w:val="212121"/>
                <w:sz w:val="21"/>
                <w:szCs w:val="21"/>
              </w:rPr>
              <w:t xml:space="preserve">　｜　服务热线：</w:t>
            </w:r>
            <w:r>
              <w:rPr>
                <w:rFonts w:ascii="Times New Roman" w:cs="Times New Roman" w:eastAsia="宋体" w:hAnsi="Times New Roman"/>
                <w:b/>
                <w:bCs/>
                <w:i w:val="false"/>
                <w:iCs w:val="false"/>
                <w:color w:val="212121"/>
                <w:sz w:val="21"/>
                <w:szCs w:val="21"/>
              </w:rPr>
              <w:t xml:space="preserve">400-XXX-XXXX</w:t>
            </w:r>
          </w:p>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工作日2小时内响应，签约后1个工作日内完成项目启动</w:t>
            </w:r>
          </w:p>
        </w:tc>
      </w:tr>
    </w:tbl>
    <w:p>
      <w:pPr>
        <w:spacing w:after="120" w:before="0"/>
      </w:pPr>
    </w:p>
    <w:tbl>
      <w:tblPr>
        <w:tblW w:type="dxa" w:w="9216"/>
        <w:tblBorders>
          <w:top w:val="none" w:color="FFFFFF" w:sz="0"/>
          <w:left w:val="single" w:color="2E7D32" w:sz="18"/>
          <w:bottom w:val="none" w:color="FFFFFF" w:sz="0"/>
          <w:right w:val="none" w:color="FFFFFF" w:sz="0"/>
          <w:insideH w:val="none" w:color="FFFFFF" w:sz="0"/>
          <w:insideV w:val="none" w:color="FFFFFF" w:sz="0"/>
        </w:tblBorders>
      </w:tblPr>
      <w:tblGrid>
        <w:gridCol w:w="9216"/>
      </w:tblGrid>
      <w:tr>
        <w:tc>
          <w:tcPr>
            <w:tcW w:type="dxa" w:w="9216"/>
            <w:shd w:fill="E8F5E9"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2E7D32"/>
                <w:sz w:val="22"/>
                <w:szCs w:val="22"/>
              </w:rPr>
              <w:t xml:space="preserve">📝 免费线上自测</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不确定差距大小？先试试免费线上自测工具——18道单选题，5分钟出红黄绿结果与初步建议。</w:t>
            </w:r>
          </w:p>
          <w:p>
            <w:pPr>
              <w:spacing w:after="70" w:before="0" w:line="300"/>
              <w:jc w:val="left"/>
            </w:pPr>
            <w:r>
              <w:rPr>
                <w:rFonts w:ascii="Times New Roman" w:cs="Times New Roman" w:eastAsia="宋体" w:hAnsi="Times New Roman"/>
                <w:b w:val="false"/>
                <w:bCs w:val="false"/>
                <w:i w:val="false"/>
                <w:iCs w:val="false"/>
                <w:color w:val="78909C"/>
                <w:sz w:val="21"/>
                <w:szCs w:val="21"/>
              </w:rPr>
              <w:t xml:space="preserve">（自测工具上线时间请关注公众号通知，也可直接联系项目经理索取纸质版问卷）</w:t>
            </w:r>
          </w:p>
        </w:tc>
      </w:tr>
    </w:tbl>
    <w:p>
      <w:pPr>
        <w:spacing w:after="120" w:before="0"/>
      </w:pPr>
    </w:p>
    <w:p>
      <w:pPr>
        <w:pStyle w:val="Heading1"/>
        <w:keepNext/>
        <w:pageBreakBefore/>
        <w:pBdr>
          <w:bottom w:val="single" w:color="2E7D32" w:sz="12" w:space="6"/>
        </w:pBdr>
        <w:spacing w:after="240" w:before="240"/>
      </w:pPr>
      <w:r>
        <w:rPr>
          <w:rFonts w:ascii="Times New Roman" w:cs="Times New Roman" w:eastAsia="黑体" w:hAnsi="Times New Roman"/>
          <w:b/>
          <w:bCs/>
          <w:color w:val="1A237E"/>
          <w:sz w:val="34"/>
          <w:szCs w:val="34"/>
        </w:rPr>
        <w:t xml:space="preserve">附录</w:t>
      </w:r>
    </w:p>
    <w:p>
      <w:pPr>
        <w:pStyle w:val="Heading2"/>
        <w:keepNext/>
        <w:spacing w:after="140" w:before="300"/>
      </w:pPr>
      <w:r>
        <w:rPr>
          <w:rFonts w:ascii="Times New Roman" w:cs="Times New Roman" w:eastAsia="黑体" w:hAnsi="Times New Roman"/>
          <w:b/>
          <w:bCs/>
          <w:color w:val="283593"/>
          <w:sz w:val="26"/>
          <w:szCs w:val="26"/>
        </w:rPr>
        <w:t xml:space="preserve">📅 关键法规日期速查</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2200"/>
        <w:gridCol w:w="7016"/>
      </w:tblGrid>
      <w:tr>
        <w:trPr>
          <w:cantSplit/>
          <w:tblHeader/>
        </w:trPr>
        <w:tc>
          <w:tcPr>
            <w:tcW w:type="dxa" w:w="22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日期</w:t>
            </w:r>
          </w:p>
        </w:tc>
        <w:tc>
          <w:tcPr>
            <w:tcW w:type="dxa" w:w="70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事项</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2025-08-18</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原定供应链尽职调查义务生效日——已通过Reg.(EU) 2025/1561延期</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2026-07-20</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欧盟DPP中央注册中心上线运行</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2026-02-18</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二维码标识分阶段要求实施</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2026-08-18</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标签新要求（容量/化学体系/收集符号等）分阶段实施</w:t>
            </w:r>
          </w:p>
        </w:tc>
      </w:tr>
      <w:tr>
        <w:trPr>
          <w:cantSplit/>
        </w:trPr>
        <w:tc>
          <w:tcPr>
            <w:tcW w:type="dxa" w:w="2200"/>
            <w:shd w:fill="FFEBEE"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B71C1C"/>
                <w:sz w:val="21"/>
                <w:szCs w:val="21"/>
              </w:rPr>
              <w:t xml:space="preserve">2027-02-18</w:t>
            </w:r>
          </w:p>
        </w:tc>
        <w:tc>
          <w:tcPr>
            <w:tcW w:type="dxa" w:w="7016"/>
            <w:shd w:fill="FFEBEE"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电池护照强制生效：LMT / &gt;2kWh工业 / EV电池</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2027-08-18</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供应链尽职调查义务适用（延期后日期）</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2028-02-18</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EV电池碳足迹最大阈值生效</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2028-08-18</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LMT电池碳足迹声明适用</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2029-02-18</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工业电池碳足迹最大阈值</w:t>
            </w:r>
          </w:p>
        </w:tc>
      </w:tr>
      <w:tr>
        <w:trPr>
          <w:cantSplit/>
        </w:trPr>
        <w:tc>
          <w:tcPr>
            <w:tcW w:type="dxa" w:w="22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1A237E"/>
                <w:sz w:val="21"/>
                <w:szCs w:val="21"/>
              </w:rPr>
              <w:t xml:space="preserve">2031-08-18</w:t>
            </w:r>
          </w:p>
        </w:tc>
        <w:tc>
          <w:tcPr>
            <w:tcW w:type="dxa" w:w="70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LMT电池碳足迹最大阈值</w:t>
            </w:r>
          </w:p>
        </w:tc>
      </w:tr>
    </w:tbl>
    <w:p>
      <w:pPr>
        <w:spacing w:after="80"/>
      </w:pPr>
    </w:p>
    <w:p>
      <w:pPr>
        <w:pStyle w:val="Heading2"/>
        <w:keepNext/>
        <w:spacing w:after="140" w:before="300"/>
      </w:pPr>
      <w:r>
        <w:rPr>
          <w:rFonts w:ascii="Times New Roman" w:cs="Times New Roman" w:eastAsia="黑体" w:hAnsi="Times New Roman"/>
          <w:b/>
          <w:bCs/>
          <w:color w:val="283593"/>
          <w:sz w:val="26"/>
          <w:szCs w:val="26"/>
        </w:rPr>
        <w:t xml:space="preserve">📖 术语表</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3000"/>
        <w:gridCol w:w="6216"/>
      </w:tblGrid>
      <w:tr>
        <w:trPr>
          <w:cantSplit/>
          <w:tblHeader/>
        </w:trPr>
        <w:tc>
          <w:tcPr>
            <w:tcW w:type="dxa" w:w="3000"/>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术语</w:t>
            </w:r>
          </w:p>
        </w:tc>
        <w:tc>
          <w:tcPr>
            <w:tcW w:type="dxa" w:w="6216"/>
            <w:shd w:fill="1A237E" w:color="auto" w:val="clear"/>
            <w:tcMar>
              <w:top w:type="dxa" w:w="70"/>
              <w:left w:type="dxa" w:w="120"/>
              <w:bottom w:type="dxa" w:w="70"/>
              <w:right w:type="dxa" w:w="120"/>
            </w:tcMar>
            <w:vAlign w:val="center"/>
          </w:tcPr>
          <w:p>
            <w:pPr>
              <w:spacing w:after="0" w:before="0" w:line="260"/>
              <w:jc w:val="left"/>
            </w:pPr>
            <w:r>
              <w:rPr>
                <w:rFonts w:ascii="Times New Roman" w:cs="Times New Roman" w:eastAsia="宋体" w:hAnsi="Times New Roman"/>
                <w:b/>
                <w:bCs/>
                <w:color w:val="FFFFFF"/>
                <w:sz w:val="20"/>
                <w:szCs w:val="20"/>
              </w:rPr>
              <w:t xml:space="preserve">释义</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DPP（Digital Product Passport）</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数字产品护照，电池护照的正式称谓</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(EU) 2023/1542</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欧盟电池与废电池法规，2023年8月17日生效，条例性质、直接适用</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EV电池</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为混合动力或纯电动M/N/O类车辆牵引供电的电池</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LMT电池</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轻型交通工具电池（≤25kg），如电动自行车、电动滑板车电池</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工业电池</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工业专用设计，或&gt;5kg且非EV/LMT/SLI的电池；固定储能电池属此类</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SLI电池</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用于启动、照明、点火（Starting, Lighting, Ignition）的电池</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CE / DoC</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CE合格标识 / EU符合性声明（Declaration of Conformity）</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PEF</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产品环境足迹方法（Product Environmental Footprint），碳足迹计算的法定方法基础</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kgCO₂e/kWh</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碳足迹申报单位：每千瓦时全生命周期能量输出对应的二氧化碳当量</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EPR</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生产者延伸责任（Extended Producer Responsibility）</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SoH / SOCE / SOC</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电池健康状态 / 认证能量状态 / 荷电状态</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CRM</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关键原材料（Critical Raw Materials），护照中按&gt;0.1%重量比申报</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BMS</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电池管理系统（Battery Management System），动态数据的来源</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QR码数据载体</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电池护照访问入口，须符合ISO/IEC 15459系列标准，采用GS1 Digital Link格式</w:t>
            </w:r>
          </w:p>
        </w:tc>
      </w:tr>
      <w:tr>
        <w:trPr>
          <w:cantSplit/>
        </w:trPr>
        <w:tc>
          <w:tcPr>
            <w:tcW w:type="dxa" w:w="3000"/>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bCs/>
                <w:i w:val="false"/>
                <w:iCs w:val="false"/>
                <w:color w:val="212121"/>
                <w:sz w:val="21"/>
                <w:szCs w:val="21"/>
              </w:rPr>
              <w:t xml:space="preserve">公告机构（NB）</w:t>
            </w:r>
          </w:p>
        </w:tc>
        <w:tc>
          <w:tcPr>
            <w:tcW w:type="dxa" w:w="6216"/>
            <w:shd w:fill="FFFFFF" w:color="auto" w:val="clear"/>
            <w:tcMar>
              <w:top w:type="dxa" w:w="70"/>
              <w:left w:type="dxa" w:w="120"/>
              <w:bottom w:type="dxa" w:w="70"/>
              <w:right w:type="dxa" w:w="120"/>
            </w:tcMar>
            <w:vAlign w:val="center"/>
          </w:tcPr>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Notified Body，成员国指定、欧盟公示的合格评定机构</w:t>
            </w:r>
          </w:p>
        </w:tc>
      </w:tr>
    </w:tbl>
    <w:p>
      <w:pPr>
        <w:spacing w:after="80"/>
      </w:pPr>
    </w:p>
    <w:p>
      <w:pPr>
        <w:pStyle w:val="Heading2"/>
        <w:keepNext/>
        <w:spacing w:after="140" w:before="300"/>
      </w:pPr>
      <w:r>
        <w:rPr>
          <w:rFonts w:ascii="Times New Roman" w:cs="Times New Roman" w:eastAsia="黑体" w:hAnsi="Times New Roman"/>
          <w:b/>
          <w:bCs/>
          <w:color w:val="283593"/>
          <w:sz w:val="26"/>
          <w:szCs w:val="26"/>
        </w:rPr>
        <w:t xml:space="preserve">服务边界说明</w:t>
      </w:r>
    </w:p>
    <w:tbl>
      <w:tblPr>
        <w:tblW w:type="dxa" w:w="9216"/>
        <w:tblBorders>
          <w:top w:val="single" w:color="BDBDBD" w:sz="4"/>
          <w:left w:val="none" w:color="FFFFFF" w:sz="0"/>
          <w:bottom w:val="single" w:color="BDBDBD" w:sz="4"/>
          <w:right w:val="none" w:color="FFFFFF" w:sz="0"/>
          <w:insideH w:val="single" w:color="BDBDBD" w:sz="4"/>
          <w:insideV w:val="none" w:color="FFFFFF" w:sz="0"/>
        </w:tblBorders>
      </w:tblPr>
      <w:tblGrid>
        <w:gridCol w:w="4608"/>
        <w:gridCol w:w="4608"/>
      </w:tblGrid>
      <w:tr>
        <w:trPr>
          <w:cantSplit/>
        </w:trPr>
        <w:tc>
          <w:tcPr>
            <w:tcW w:type="dxa" w:w="4608"/>
            <w:shd w:fill="E8F5E9" w:color="auto" w:val="clear"/>
            <w:tcMar>
              <w:top w:type="dxa" w:w="70"/>
              <w:left w:type="dxa" w:w="120"/>
              <w:bottom w:type="dxa" w:w="70"/>
              <w:right w:type="dxa" w:w="120"/>
            </w:tcMar>
            <w:vAlign w:val="center"/>
          </w:tcPr>
          <w:p>
            <w:pPr>
              <w:spacing w:after="80" w:before="60" w:line="300"/>
              <w:jc w:val="left"/>
            </w:pPr>
            <w:r>
              <w:rPr>
                <w:rFonts w:ascii="Times New Roman" w:cs="Times New Roman" w:eastAsia="宋体" w:hAnsi="Times New Roman"/>
                <w:b/>
                <w:bCs/>
                <w:i w:val="false"/>
                <w:iCs w:val="false"/>
                <w:color w:val="2E7D32"/>
                <w:sz w:val="21"/>
                <w:szCs w:val="21"/>
              </w:rPr>
              <w:t xml:space="preserve">✅ 本服务覆盖</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电池类型判定与71个数据点的适用性确认（法规适配矩阵）</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32项核心核查与书面证据采集、证据索引登记</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红黄绿差距分级、六维加权综合评级与根因分析</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整改路线图（动作、责任方、周期、依赖）与关键日期速查卡</w:t>
            </w:r>
          </w:p>
          <w:p>
            <w:pPr>
              <w:spacing w:after="70" w:before="0" w:line="300"/>
              <w:jc w:val="left"/>
            </w:pPr>
            <w:r>
              <w:rPr>
                <w:rFonts w:ascii="Times New Roman" w:cs="Times New Roman" w:eastAsia="宋体" w:hAnsi="Times New Roman"/>
                <w:b w:val="false"/>
                <w:bCs w:val="false"/>
                <w:i w:val="false"/>
                <w:iCs w:val="false"/>
                <w:color w:val="2E7D32"/>
                <w:sz w:val="21"/>
                <w:szCs w:val="21"/>
              </w:rPr>
              <w:t xml:space="preserve">• </w:t>
            </w:r>
            <w:r>
              <w:rPr>
                <w:rFonts w:ascii="Times New Roman" w:cs="Times New Roman" w:eastAsia="宋体" w:hAnsi="Times New Roman"/>
                <w:b w:val="false"/>
                <w:bCs w:val="false"/>
                <w:i w:val="false"/>
                <w:iCs w:val="false"/>
                <w:color w:val="212121"/>
                <w:sz w:val="21"/>
                <w:szCs w:val="21"/>
              </w:rPr>
              <w:t xml:space="preserve">约定次数的汇报答疑，及更新期内的报告免费更新</w:t>
            </w:r>
          </w:p>
        </w:tc>
        <w:tc>
          <w:tcPr>
            <w:tcW w:type="dxa" w:w="4608"/>
            <w:shd w:fill="FFEBEE" w:color="auto" w:val="clear"/>
            <w:tcMar>
              <w:top w:type="dxa" w:w="70"/>
              <w:left w:type="dxa" w:w="120"/>
              <w:bottom w:type="dxa" w:w="70"/>
              <w:right w:type="dxa" w:w="120"/>
            </w:tcMar>
            <w:vAlign w:val="center"/>
          </w:tcPr>
          <w:p>
            <w:pPr>
              <w:spacing w:after="80" w:before="60" w:line="300"/>
              <w:jc w:val="left"/>
            </w:pPr>
            <w:r>
              <w:rPr>
                <w:rFonts w:ascii="Times New Roman" w:cs="Times New Roman" w:eastAsia="宋体" w:hAnsi="Times New Roman"/>
                <w:b/>
                <w:bCs/>
                <w:i w:val="false"/>
                <w:iCs w:val="false"/>
                <w:color w:val="B71C1C"/>
                <w:sz w:val="21"/>
                <w:szCs w:val="21"/>
              </w:rPr>
              <w:t xml:space="preserve">🚫 本服务不覆盖</w:t>
            </w:r>
          </w:p>
          <w:p>
            <w:pPr>
              <w:spacing w:after="70" w:before="0" w:line="300"/>
              <w:jc w:val="left"/>
            </w:pPr>
            <w:r>
              <w:rPr>
                <w:rFonts w:ascii="Times New Roman" w:cs="Times New Roman" w:eastAsia="宋体" w:hAnsi="Times New Roman"/>
                <w:b w:val="false"/>
                <w:bCs w:val="false"/>
                <w:i w:val="false"/>
                <w:iCs w:val="false"/>
                <w:color w:val="B71C1C"/>
                <w:sz w:val="21"/>
                <w:szCs w:val="21"/>
              </w:rPr>
              <w:t xml:space="preserve">• </w:t>
            </w:r>
            <w:r>
              <w:rPr>
                <w:rFonts w:ascii="Times New Roman" w:cs="Times New Roman" w:eastAsia="宋体" w:hAnsi="Times New Roman"/>
                <w:b w:val="false"/>
                <w:bCs w:val="false"/>
                <w:i w:val="false"/>
                <w:iCs w:val="false"/>
                <w:color w:val="212121"/>
                <w:sz w:val="21"/>
                <w:szCs w:val="21"/>
              </w:rPr>
              <w:t xml:space="preserve">整改的实际执行（流程重建、系统开发、产线改造等，属服务②及后续）</w:t>
            </w:r>
          </w:p>
          <w:p>
            <w:pPr>
              <w:spacing w:after="70" w:before="0" w:line="300"/>
              <w:jc w:val="left"/>
            </w:pPr>
            <w:r>
              <w:rPr>
                <w:rFonts w:ascii="Times New Roman" w:cs="Times New Roman" w:eastAsia="宋体" w:hAnsi="Times New Roman"/>
                <w:b w:val="false"/>
                <w:bCs w:val="false"/>
                <w:i w:val="false"/>
                <w:iCs w:val="false"/>
                <w:color w:val="B71C1C"/>
                <w:sz w:val="21"/>
                <w:szCs w:val="21"/>
              </w:rPr>
              <w:t xml:space="preserve">• </w:t>
            </w:r>
            <w:r>
              <w:rPr>
                <w:rFonts w:ascii="Times New Roman" w:cs="Times New Roman" w:eastAsia="宋体" w:hAnsi="Times New Roman"/>
                <w:b w:val="false"/>
                <w:bCs w:val="false"/>
                <w:i w:val="false"/>
                <w:iCs w:val="false"/>
                <w:color w:val="212121"/>
                <w:sz w:val="21"/>
                <w:szCs w:val="21"/>
              </w:rPr>
              <w:t xml:space="preserve">第三方检测、认证、核验费用及申请代理（可推荐机构并协助对接，费用由客户与机构直接结算）</w:t>
            </w:r>
          </w:p>
          <w:p>
            <w:pPr>
              <w:spacing w:after="70" w:before="0" w:line="300"/>
              <w:jc w:val="left"/>
            </w:pPr>
            <w:r>
              <w:rPr>
                <w:rFonts w:ascii="Times New Roman" w:cs="Times New Roman" w:eastAsia="宋体" w:hAnsi="Times New Roman"/>
                <w:b w:val="false"/>
                <w:bCs w:val="false"/>
                <w:i w:val="false"/>
                <w:iCs w:val="false"/>
                <w:color w:val="B71C1C"/>
                <w:sz w:val="21"/>
                <w:szCs w:val="21"/>
              </w:rPr>
              <w:t xml:space="preserve">• </w:t>
            </w:r>
            <w:r>
              <w:rPr>
                <w:rFonts w:ascii="Times New Roman" w:cs="Times New Roman" w:eastAsia="宋体" w:hAnsi="Times New Roman"/>
                <w:b w:val="false"/>
                <w:bCs w:val="false"/>
                <w:i w:val="false"/>
                <w:iCs w:val="false"/>
                <w:color w:val="212121"/>
                <w:sz w:val="21"/>
                <w:szCs w:val="21"/>
              </w:rPr>
              <w:t xml:space="preserve">欧盟境内EPR注册规费、授权代表服务费及法律诉讼/争议代理</w:t>
            </w:r>
          </w:p>
          <w:p>
            <w:pPr>
              <w:spacing w:after="70" w:before="0" w:line="300"/>
              <w:jc w:val="left"/>
            </w:pPr>
            <w:r>
              <w:rPr>
                <w:rFonts w:ascii="Times New Roman" w:cs="Times New Roman" w:eastAsia="宋体" w:hAnsi="Times New Roman"/>
                <w:b w:val="false"/>
                <w:bCs w:val="false"/>
                <w:i w:val="false"/>
                <w:iCs w:val="false"/>
                <w:color w:val="B71C1C"/>
                <w:sz w:val="21"/>
                <w:szCs w:val="21"/>
              </w:rPr>
              <w:t xml:space="preserve">• </w:t>
            </w:r>
            <w:r>
              <w:rPr>
                <w:rFonts w:ascii="Times New Roman" w:cs="Times New Roman" w:eastAsia="宋体" w:hAnsi="Times New Roman"/>
                <w:b w:val="false"/>
                <w:bCs w:val="false"/>
                <w:i w:val="false"/>
                <w:iCs w:val="false"/>
                <w:color w:val="212121"/>
                <w:sz w:val="21"/>
                <w:szCs w:val="21"/>
              </w:rPr>
              <w:t xml:space="preserve">欧盟以外市场（美国、东南亚等）法规与非电池产品的合规事项</w:t>
            </w:r>
          </w:p>
        </w:tc>
      </w:tr>
    </w:tbl>
    <w:p>
      <w:pPr>
        <w:spacing w:after="80"/>
      </w:pPr>
    </w:p>
    <w:tbl>
      <w:tblPr>
        <w:tblW w:type="dxa" w:w="9216"/>
        <w:tblBorders>
          <w:top w:val="none" w:color="FFFFFF" w:sz="0"/>
          <w:left w:val="single" w:color="0D47A1" w:sz="18"/>
          <w:bottom w:val="none" w:color="FFFFFF" w:sz="0"/>
          <w:right w:val="none" w:color="FFFFFF" w:sz="0"/>
          <w:insideH w:val="none" w:color="FFFFFF" w:sz="0"/>
          <w:insideV w:val="none" w:color="FFFFFF" w:sz="0"/>
        </w:tblBorders>
      </w:tblPr>
      <w:tblGrid>
        <w:gridCol w:w="9216"/>
      </w:tblGrid>
      <w:tr>
        <w:tc>
          <w:tcPr>
            <w:tcW w:type="dxa" w:w="9216"/>
            <w:shd w:fill="E3F2FD" w:color="auto" w:val="clear"/>
            <w:tcMar>
              <w:top w:type="dxa" w:w="140"/>
              <w:left w:type="dxa" w:w="220"/>
              <w:bottom w:type="dxa" w:w="140"/>
              <w:right w:type="dxa" w:w="220"/>
            </w:tcMar>
          </w:tcPr>
          <w:p>
            <w:pPr>
              <w:spacing w:after="100" w:before="0"/>
            </w:pPr>
            <w:r>
              <w:rPr>
                <w:rFonts w:ascii="Times New Roman" w:cs="Times New Roman" w:eastAsia="宋体" w:hAnsi="Times New Roman"/>
                <w:b/>
                <w:bCs/>
                <w:color w:val="0D47A1"/>
                <w:sz w:val="22"/>
                <w:szCs w:val="22"/>
              </w:rPr>
              <w:t xml:space="preserve">📌 评估基准与责任说明</w:t>
            </w:r>
          </w:p>
          <w:p>
            <w:pPr>
              <w:spacing w:after="70" w:before="0" w:line="300"/>
              <w:jc w:val="left"/>
            </w:pPr>
            <w:r>
              <w:rPr>
                <w:rFonts w:ascii="Times New Roman" w:cs="Times New Roman" w:eastAsia="宋体" w:hAnsi="Times New Roman"/>
                <w:b w:val="false"/>
                <w:bCs w:val="false"/>
                <w:i w:val="false"/>
                <w:iCs w:val="false"/>
                <w:color w:val="212121"/>
                <w:sz w:val="21"/>
                <w:szCs w:val="21"/>
              </w:rPr>
              <w:t xml:space="preserve">评估结论基于贵司提供的资料、访谈陈述、系统演示及评估基准日有效的法规规则；贵司对所提供资料的真实性、完整性负责。法规及授权法案后续发生重大变化时，以更新版报告或年度托管服务为准。本手册不构成法律意见，正式合规义务以法规原文及最新授权法案/实施条例为准。</w:t>
            </w:r>
          </w:p>
        </w:tc>
      </w:tr>
    </w:tbl>
    <w:p>
      <w:pPr>
        <w:spacing w:after="120" w:before="0"/>
      </w:pPr>
    </w:p>
    <w:tbl>
      <w:tblPr>
        <w:tblW w:type="dxa" w:w="9216"/>
        <w:tblBorders>
          <w:top w:val="none" w:color="FFFFFF" w:sz="0"/>
          <w:left w:val="single" w:color="1A237E" w:sz="18"/>
          <w:bottom w:val="none" w:color="FFFFFF" w:sz="0"/>
          <w:right w:val="none" w:color="FFFFFF" w:sz="0"/>
          <w:insideH w:val="none" w:color="FFFFFF" w:sz="0"/>
          <w:insideV w:val="none" w:color="FFFFFF" w:sz="0"/>
        </w:tblBorders>
      </w:tblPr>
      <w:tblGrid>
        <w:gridCol w:w="9216"/>
      </w:tblGrid>
      <w:tr>
        <w:tc>
          <w:tcPr>
            <w:tcW w:type="dxa" w:w="9216"/>
            <w:shd w:fill="F5F6FA" w:color="auto" w:val="clear"/>
            <w:tcMar>
              <w:top w:type="dxa" w:w="200"/>
              <w:left w:type="dxa" w:w="260"/>
              <w:bottom w:type="dxa" w:w="200"/>
              <w:right w:type="dxa" w:w="260"/>
            </w:tcMar>
          </w:tcPr>
          <w:p>
            <w:pPr>
              <w:spacing w:after="90" w:before="0" w:line="300"/>
              <w:jc w:val="left"/>
            </w:pPr>
            <w:r>
              <w:rPr>
                <w:rFonts w:ascii="Times New Roman" w:cs="Times New Roman" w:eastAsia="宋体" w:hAnsi="Times New Roman"/>
                <w:b w:val="false"/>
                <w:bCs w:val="false"/>
                <w:i w:val="false"/>
                <w:iCs w:val="false"/>
                <w:color w:val="212121"/>
                <w:sz w:val="21"/>
                <w:szCs w:val="21"/>
              </w:rPr>
              <w:t xml:space="preserve">守信财税由北京乾坤生会计师事务所与守信财税咨询联合运营，拥有18年专业服务经验。DPP业务线专注为中国电池企业提供欧盟电池法规合规服务：从差距评估、数据建设、供应商辅导到护照注册上线与年度托管，提供一站式全链条支持。</w:t>
            </w:r>
          </w:p>
          <w:p>
            <w:pPr>
              <w:spacing w:after="90" w:before="80" w:line="300"/>
              <w:jc w:val="left"/>
            </w:pPr>
            <w:r>
              <w:rPr>
                <w:rFonts w:ascii="Times New Roman" w:cs="Times New Roman" w:eastAsia="宋体" w:hAnsi="Times New Roman"/>
                <w:b/>
                <w:bCs/>
                <w:i w:val="false"/>
                <w:iCs w:val="false"/>
                <w:color w:val="212121"/>
                <w:sz w:val="21"/>
                <w:szCs w:val="21"/>
              </w:rPr>
              <w:t xml:space="preserve">联系我们：</w:t>
            </w:r>
            <w:r>
              <w:rPr>
                <w:rFonts w:ascii="Times New Roman" w:cs="Times New Roman" w:eastAsia="宋体" w:hAnsi="Times New Roman"/>
                <w:b w:val="false"/>
                <w:bCs w:val="false"/>
                <w:i w:val="false"/>
                <w:iCs w:val="false"/>
                <w:color w:val="212121"/>
                <w:sz w:val="21"/>
                <w:szCs w:val="21"/>
              </w:rPr>
              <w:t xml:space="preserve">dpp@shouxincaishui.com　｜　400-XXX-XXXX</w:t>
            </w:r>
          </w:p>
        </w:tc>
      </w:tr>
    </w:tbl>
    <w:sectPr>
      <w:headerReference w:type="default" r:id="rId9"/>
      <w:footerReference w:type="default" r:id="rId10"/>
      <w:pgSz w:w="11906" w:h="16838" w:orient="portrait"/>
      <w:pgMar w:top="1300" w:right="1345" w:bottom="1300" w:left="134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color w:val="78909C"/>
        <w:sz w:val="18"/>
        <w:szCs w:val="18"/>
      </w:rPr>
      <w:t xml:space="preserve">第 </w:t>
    </w:r>
    <w:r>
      <w:rPr>
        <w:rFonts w:ascii="Times New Roman" w:cs="Times New Roman" w:eastAsia="宋体" w:hAnsi="Times New Roman"/>
        <w:color w:val="78909C"/>
        <w:sz w:val="18"/>
        <w:szCs w:val="18"/>
      </w:rPr>
      <w:fldChar w:fldCharType="begin"/>
      <w:instrText xml:space="preserve">PAGE</w:instrText>
      <w:fldChar w:fldCharType="separate"/>
      <w:fldChar w:fldCharType="end"/>
    </w:r>
    <w:r>
      <w:rPr>
        <w:rFonts w:ascii="Times New Roman" w:cs="Times New Roman" w:eastAsia="宋体" w:hAnsi="Times New Roman"/>
        <w:color w:val="78909C"/>
        <w:sz w:val="18"/>
        <w:szCs w:val="18"/>
      </w:rPr>
      <w:t xml:space="preserve"> 页 / 共 </w:t>
    </w:r>
    <w:r>
      <w:rPr>
        <w:rFonts w:ascii="Times New Roman" w:cs="Times New Roman" w:eastAsia="宋体" w:hAnsi="Times New Roman"/>
        <w:color w:val="78909C"/>
        <w:sz w:val="18"/>
        <w:szCs w:val="18"/>
      </w:rPr>
      <w:fldChar w:fldCharType="begin"/>
      <w:instrText xml:space="preserve">NUMPAGES</w:instrText>
      <w:fldChar w:fldCharType="separate"/>
      <w:fldChar w:fldCharType="end"/>
    </w:r>
    <w:r>
      <w:rPr>
        <w:rFonts w:ascii="Times New Roman" w:cs="Times New Roman" w:eastAsia="宋体" w:hAnsi="Times New Roman"/>
        <w:color w:val="78909C"/>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jc w:val="right"/>
    </w:pPr>
    <w:r>
      <w:rPr>
        <w:rFonts w:ascii="Times New Roman" w:cs="Times New Roman" w:eastAsia="宋体" w:hAnsi="Times New Roman"/>
        <w:color w:val="1A237E"/>
        <w:sz w:val="18"/>
        <w:szCs w:val="18"/>
      </w:rPr>
      <w:t xml:space="preserve">DPP差距评估服务 · 守信财税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2E7D32"/>
      </w:rPr>
    </w:lvl>
  </w:abstractNum>
  <w:abstractNum w:abstractNumId="3" w15:restartNumberingAfterBreak="0">
    <w:multiLevelType w:val="hybridMultilevel"/>
    <w:lvl w:ilvl="0" w15:tentative="1">
      <w:start w:val="1"/>
      <w:numFmt w:val="bullet"/>
      <w:lvlText w:val="•"/>
      <w:lvlJc w:val="left"/>
      <w:pPr>
        <w:ind w:left="480" w:hanging="260"/>
      </w:pPr>
      <w:rPr>
        <w:color w:val="2E7D32"/>
      </w:rPr>
    </w:lvl>
  </w:abstractNum>
  <w:abstractNum w:abstractNumId="4" w15:restartNumberingAfterBreak="0">
    <w:multiLevelType w:val="hybridMultilevel"/>
    <w:lvl w:ilvl="0" w15:tentative="1">
      <w:start w:val="1"/>
      <w:numFmt w:val="bullet"/>
      <w:lvlText w:val="•"/>
      <w:lvlJc w:val="left"/>
      <w:pPr>
        <w:ind w:left="480" w:hanging="260"/>
      </w:pPr>
      <w:rPr>
        <w:color w:val="2E7D32"/>
      </w:rPr>
    </w:lvl>
  </w:abstractNum>
  <w:abstractNum w:abstractNumId="5" w15:restartNumberingAfterBreak="0">
    <w:multiLevelType w:val="hybridMultilevel"/>
    <w:lvl w:ilvl="0" w15:tentative="1">
      <w:start w:val="1"/>
      <w:numFmt w:val="bullet"/>
      <w:lvlText w:val="•"/>
      <w:lvlJc w:val="left"/>
      <w:pPr>
        <w:ind w:left="480" w:hanging="260"/>
      </w:pPr>
      <w:rPr>
        <w:color w:val="2E7D32"/>
      </w:rPr>
    </w:lvl>
  </w:abstractNum>
  <w:abstractNum w:abstractNumId="6" w15:restartNumberingAfterBreak="0">
    <w:multiLevelType w:val="hybridMultilevel"/>
    <w:lvl w:ilvl="0" w15:tentative="1">
      <w:start w:val="1"/>
      <w:numFmt w:val="bullet"/>
      <w:lvlText w:val="•"/>
      <w:lvlJc w:val="left"/>
      <w:pPr>
        <w:ind w:left="480" w:hanging="260"/>
      </w:pPr>
      <w:rPr>
        <w:color w:val="2E7D32"/>
      </w:rPr>
    </w:lvl>
  </w:abstractNum>
  <w:abstractNum w:abstractNumId="7" w15:restartNumberingAfterBreak="0">
    <w:multiLevelType w:val="hybridMultilevel"/>
    <w:lvl w:ilvl="0" w15:tentative="1">
      <w:start w:val="1"/>
      <w:numFmt w:val="bullet"/>
      <w:lvlText w:val="•"/>
      <w:lvlJc w:val="left"/>
      <w:pPr>
        <w:ind w:left="480" w:hanging="260"/>
      </w:pPr>
      <w:rPr>
        <w:color w:val="2E7D32"/>
      </w:rPr>
    </w:lvl>
  </w:abstractNum>
  <w:abstractNum w:abstractNumId="8" w15:restartNumberingAfterBreak="0">
    <w:multiLevelType w:val="hybridMultilevel"/>
    <w:lvl w:ilvl="0" w15:tentative="1">
      <w:start w:val="1"/>
      <w:numFmt w:val="bullet"/>
      <w:lvlText w:val="•"/>
      <w:lvlJc w:val="left"/>
      <w:pPr>
        <w:ind w:left="480" w:hanging="260"/>
      </w:pPr>
      <w:rPr>
        <w:color w:val="2E7D32"/>
      </w:rPr>
    </w:lvl>
  </w:abstractNum>
  <w:abstractNum w:abstractNumId="9" w15:restartNumberingAfterBreak="0">
    <w:multiLevelType w:val="hybridMultilevel"/>
    <w:lvl w:ilvl="0" w15:tentative="1">
      <w:start w:val="1"/>
      <w:numFmt w:val="bullet"/>
      <w:lvlText w:val="•"/>
      <w:lvlJc w:val="left"/>
      <w:pPr>
        <w:ind w:left="480" w:hanging="260"/>
      </w:pPr>
      <w:rPr>
        <w:color w:val="2E7D32"/>
      </w:rPr>
    </w:lvl>
  </w:abstractNum>
  <w:abstractNum w:abstractNumId="10" w15:restartNumberingAfterBreak="0">
    <w:multiLevelType w:val="hybridMultilevel"/>
    <w:lvl w:ilvl="0" w15:tentative="1">
      <w:start w:val="1"/>
      <w:numFmt w:val="bullet"/>
      <w:lvlText w:val="•"/>
      <w:lvlJc w:val="left"/>
      <w:pPr>
        <w:ind w:left="480" w:hanging="260"/>
      </w:pPr>
      <w:rPr>
        <w:color w:val="2E7D32"/>
      </w:rPr>
    </w:lvl>
  </w:abstractNum>
  <w:abstractNum w:abstractNumId="11" w15:restartNumberingAfterBreak="0">
    <w:multiLevelType w:val="hybridMultilevel"/>
    <w:lvl w:ilvl="0" w15:tentative="1">
      <w:start w:val="1"/>
      <w:numFmt w:val="bullet"/>
      <w:lvlText w:val="•"/>
      <w:lvlJc w:val="left"/>
      <w:pPr>
        <w:ind w:left="480" w:hanging="260"/>
      </w:pPr>
      <w:rPr>
        <w:color w:val="2E7D32"/>
      </w:rPr>
    </w:lvl>
  </w:abstractNum>
  <w:abstractNum w:abstractNumId="12" w15:restartNumberingAfterBreak="0">
    <w:multiLevelType w:val="hybridMultilevel"/>
    <w:lvl w:ilvl="0" w15:tentative="1">
      <w:start w:val="1"/>
      <w:numFmt w:val="bullet"/>
      <w:lvlText w:val="•"/>
      <w:lvlJc w:val="left"/>
      <w:pPr>
        <w:ind w:left="480" w:hanging="260"/>
      </w:pPr>
      <w:rPr>
        <w:color w:val="2E7D32"/>
      </w:rPr>
    </w:lvl>
  </w:abstractNum>
  <w:abstractNum w:abstractNumId="13" w15:restartNumberingAfterBreak="0">
    <w:multiLevelType w:val="hybridMultilevel"/>
    <w:lvl w:ilvl="0" w15:tentative="1">
      <w:start w:val="1"/>
      <w:numFmt w:val="bullet"/>
      <w:lvlText w:val="•"/>
      <w:lvlJc w:val="left"/>
      <w:pPr>
        <w:ind w:left="480" w:hanging="260"/>
      </w:pPr>
      <w:rPr>
        <w:color w:val="2E7D32"/>
      </w:rPr>
    </w:lvl>
  </w:abstractNum>
  <w:abstractNum w:abstractNumId="14" w15:restartNumberingAfterBreak="0">
    <w:multiLevelType w:val="hybridMultilevel"/>
    <w:lvl w:ilvl="0" w15:tentative="1">
      <w:start w:val="1"/>
      <w:numFmt w:val="bullet"/>
      <w:lvlText w:val="•"/>
      <w:lvlJc w:val="left"/>
      <w:pPr>
        <w:ind w:left="480" w:hanging="260"/>
      </w:pPr>
      <w:rPr>
        <w:color w:val="2E7D32"/>
      </w:rPr>
    </w:lvl>
  </w:abstractNum>
  <w:abstractNum w:abstractNumId="15" w15:restartNumberingAfterBreak="0">
    <w:multiLevelType w:val="hybridMultilevel"/>
    <w:lvl w:ilvl="0" w15:tentative="1">
      <w:start w:val="1"/>
      <w:numFmt w:val="bullet"/>
      <w:lvlText w:val="•"/>
      <w:lvlJc w:val="left"/>
      <w:pPr>
        <w:ind w:left="480" w:hanging="260"/>
      </w:pPr>
      <w:rPr>
        <w:color w:val="2E7D32"/>
      </w:rPr>
    </w:lvl>
  </w:abstractNum>
  <w:abstractNum w:abstractNumId="16" w15:restartNumberingAfterBreak="0">
    <w:multiLevelType w:val="hybridMultilevel"/>
    <w:lvl w:ilvl="0" w15:tentative="1">
      <w:start w:val="1"/>
      <w:numFmt w:val="bullet"/>
      <w:lvlText w:val="•"/>
      <w:lvlJc w:val="left"/>
      <w:pPr>
        <w:ind w:left="480" w:hanging="260"/>
      </w:pPr>
      <w:rPr>
        <w:color w:val="2E7D32"/>
      </w:rPr>
    </w:lvl>
  </w:abstractNum>
  <w:abstractNum w:abstractNumId="17" w15:restartNumberingAfterBreak="0">
    <w:multiLevelType w:val="hybridMultilevel"/>
    <w:lvl w:ilvl="0" w15:tentative="1">
      <w:start w:val="1"/>
      <w:numFmt w:val="bullet"/>
      <w:lvlText w:val="•"/>
      <w:lvlJc w:val="left"/>
      <w:pPr>
        <w:ind w:left="480" w:hanging="260"/>
      </w:pPr>
      <w:rPr>
        <w:color w:val="2E7D32"/>
      </w:rPr>
    </w:lvl>
  </w:abstractNum>
  <w:abstractNum w:abstractNumId="18" w15:restartNumberingAfterBreak="0">
    <w:multiLevelType w:val="hybridMultilevel"/>
    <w:lvl w:ilvl="0" w15:tentative="1">
      <w:start w:val="1"/>
      <w:numFmt w:val="bullet"/>
      <w:lvlText w:val="•"/>
      <w:lvlJc w:val="left"/>
      <w:pPr>
        <w:ind w:left="480" w:hanging="260"/>
      </w:pPr>
      <w:rPr>
        <w:color w:val="2E7D32"/>
      </w:rPr>
    </w:lvl>
  </w:abstractNum>
  <w:abstractNum w:abstractNumId="19" w15:restartNumberingAfterBreak="0">
    <w:multiLevelType w:val="hybridMultilevel"/>
    <w:lvl w:ilvl="0" w15:tentative="1">
      <w:start w:val="1"/>
      <w:numFmt w:val="bullet"/>
      <w:lvlText w:val="•"/>
      <w:lvlJc w:val="left"/>
      <w:pPr>
        <w:ind w:left="480" w:hanging="260"/>
      </w:pPr>
      <w:rPr>
        <w:color w:val="2E7D32"/>
      </w:rPr>
    </w:lvl>
  </w:abstractNum>
  <w:abstractNum w:abstractNumId="20" w15:restartNumberingAfterBreak="0">
    <w:multiLevelType w:val="hybridMultilevel"/>
    <w:lvl w:ilvl="0" w15:tentative="1">
      <w:start w:val="1"/>
      <w:numFmt w:val="bullet"/>
      <w:lvlText w:val="•"/>
      <w:lvlJc w:val="left"/>
      <w:pPr>
        <w:ind w:left="480" w:hanging="260"/>
      </w:pPr>
      <w:rPr>
        <w:color w:val="2E7D32"/>
      </w:rPr>
    </w:lvl>
  </w:abstractNum>
  <w:abstractNum w:abstractNumId="21" w15:restartNumberingAfterBreak="0">
    <w:multiLevelType w:val="hybridMultilevel"/>
    <w:lvl w:ilvl="0" w15:tentative="1">
      <w:start w:val="1"/>
      <w:numFmt w:val="bullet"/>
      <w:lvlText w:val="•"/>
      <w:lvlJc w:val="left"/>
      <w:pPr>
        <w:ind w:left="480" w:hanging="260"/>
      </w:pPr>
      <w:rPr>
        <w:color w:val="2E7D32"/>
      </w:rPr>
    </w:lvl>
  </w:abstractNum>
  <w:abstractNum w:abstractNumId="22" w15:restartNumberingAfterBreak="0">
    <w:multiLevelType w:val="hybridMultilevel"/>
    <w:lvl w:ilvl="0" w15:tentative="1">
      <w:start w:val="1"/>
      <w:numFmt w:val="bullet"/>
      <w:lvlText w:val="•"/>
      <w:lvlJc w:val="left"/>
      <w:pPr>
        <w:ind w:left="480" w:hanging="260"/>
      </w:pPr>
      <w:rPr>
        <w:color w:val="2E7D32"/>
      </w:rPr>
    </w:lvl>
  </w:abstractNum>
  <w:abstractNum w:abstractNumId="23" w15:restartNumberingAfterBreak="0">
    <w:multiLevelType w:val="hybridMultilevel"/>
    <w:lvl w:ilvl="0" w15:tentative="1">
      <w:start w:val="1"/>
      <w:numFmt w:val="bullet"/>
      <w:lvlText w:val="•"/>
      <w:lvlJc w:val="left"/>
      <w:pPr>
        <w:ind w:left="480" w:hanging="260"/>
      </w:pPr>
      <w:rPr>
        <w:color w:val="2E7D32"/>
      </w:rPr>
    </w:lvl>
  </w:abstractNum>
  <w:abstractNum w:abstractNumId="24" w15:restartNumberingAfterBreak="0">
    <w:multiLevelType w:val="hybridMultilevel"/>
    <w:lvl w:ilvl="0" w15:tentative="1">
      <w:start w:val="1"/>
      <w:numFmt w:val="bullet"/>
      <w:lvlText w:val="•"/>
      <w:lvlJc w:val="left"/>
      <w:pPr>
        <w:ind w:left="480" w:hanging="260"/>
      </w:pPr>
      <w:rPr>
        <w:color w:val="2E7D32"/>
      </w:rPr>
    </w:lvl>
  </w:abstractNum>
  <w:abstractNum w:abstractNumId="25" w15:restartNumberingAfterBreak="0">
    <w:multiLevelType w:val="hybridMultilevel"/>
    <w:lvl w:ilvl="0" w15:tentative="1">
      <w:start w:val="1"/>
      <w:numFmt w:val="bullet"/>
      <w:lvlText w:val="•"/>
      <w:lvlJc w:val="left"/>
      <w:pPr>
        <w:ind w:left="480" w:hanging="260"/>
      </w:pPr>
      <w:rPr>
        <w:color w:val="2E7D32"/>
      </w:rPr>
    </w:lvl>
  </w:abstractNum>
  <w:abstractNum w:abstractNumId="26" w15:restartNumberingAfterBreak="0">
    <w:multiLevelType w:val="hybridMultilevel"/>
    <w:lvl w:ilvl="0" w15:tentative="1">
      <w:start w:val="1"/>
      <w:numFmt w:val="bullet"/>
      <w:lvlText w:val="•"/>
      <w:lvlJc w:val="left"/>
      <w:pPr>
        <w:ind w:left="480" w:hanging="260"/>
      </w:pPr>
      <w:rPr>
        <w:color w:val="2E7D32"/>
      </w:rPr>
    </w:lvl>
  </w:abstractNum>
  <w:abstractNum w:abstractNumId="27" w15:restartNumberingAfterBreak="0">
    <w:multiLevelType w:val="hybridMultilevel"/>
    <w:lvl w:ilvl="0" w15:tentative="1">
      <w:start w:val="1"/>
      <w:numFmt w:val="bullet"/>
      <w:lvlText w:val="•"/>
      <w:lvlJc w:val="left"/>
      <w:pPr>
        <w:ind w:left="480" w:hanging="260"/>
      </w:pPr>
      <w:rPr>
        <w:color w:val="2E7D32"/>
      </w:rPr>
    </w:lvl>
  </w:abstractNum>
  <w:abstractNum w:abstractNumId="28" w15:restartNumberingAfterBreak="0">
    <w:multiLevelType w:val="hybridMultilevel"/>
    <w:lvl w:ilvl="0" w15:tentative="1">
      <w:start w:val="1"/>
      <w:numFmt w:val="bullet"/>
      <w:lvlText w:val="•"/>
      <w:lvlJc w:val="left"/>
      <w:pPr>
        <w:ind w:left="480" w:hanging="260"/>
      </w:pPr>
      <w:rPr>
        <w:color w:val="2E7D32"/>
      </w:rPr>
    </w:lvl>
  </w:abstractNum>
  <w:abstractNum w:abstractNumId="29" w15:restartNumberingAfterBreak="0">
    <w:multiLevelType w:val="hybridMultilevel"/>
    <w:lvl w:ilvl="0" w15:tentative="1">
      <w:start w:val="1"/>
      <w:numFmt w:val="bullet"/>
      <w:lvlText w:val="•"/>
      <w:lvlJc w:val="left"/>
      <w:pPr>
        <w:ind w:left="480" w:hanging="260"/>
      </w:pPr>
      <w:rPr>
        <w:color w:val="2E7D32"/>
      </w:rPr>
    </w:lvl>
  </w:abstractNum>
  <w:abstractNum w:abstractNumId="30" w15:restartNumberingAfterBreak="0">
    <w:multiLevelType w:val="hybridMultilevel"/>
    <w:lvl w:ilvl="0" w15:tentative="1">
      <w:start w:val="1"/>
      <w:numFmt w:val="bullet"/>
      <w:lvlText w:val="•"/>
      <w:lvlJc w:val="left"/>
      <w:pPr>
        <w:ind w:left="480" w:hanging="260"/>
      </w:pPr>
      <w:rPr>
        <w:color w:val="2E7D32"/>
      </w:rPr>
    </w:lvl>
  </w:abstractNum>
  <w:abstractNum w:abstractNumId="31" w15:restartNumberingAfterBreak="0">
    <w:multiLevelType w:val="hybridMultilevel"/>
    <w:lvl w:ilvl="0" w15:tentative="1">
      <w:start w:val="1"/>
      <w:numFmt w:val="bullet"/>
      <w:lvlText w:val="•"/>
      <w:lvlJc w:val="left"/>
      <w:pPr>
        <w:ind w:left="480" w:hanging="260"/>
      </w:pPr>
      <w:rPr>
        <w:color w:val="2E7D32"/>
      </w:rPr>
    </w:lvl>
  </w:abstractNum>
  <w:abstractNum w:abstractNumId="32" w15:restartNumberingAfterBreak="0">
    <w:multiLevelType w:val="hybridMultilevel"/>
    <w:lvl w:ilvl="0" w15:tentative="1">
      <w:start w:val="1"/>
      <w:numFmt w:val="bullet"/>
      <w:lvlText w:val="•"/>
      <w:lvlJc w:val="left"/>
      <w:pPr>
        <w:ind w:left="480" w:hanging="260"/>
      </w:pPr>
      <w:rPr>
        <w:color w:val="2E7D32"/>
      </w:rPr>
    </w:lvl>
  </w:abstractNum>
  <w:abstractNum w:abstractNumId="33" w15:restartNumberingAfterBreak="0">
    <w:multiLevelType w:val="hybridMultilevel"/>
    <w:lvl w:ilvl="0" w15:tentative="1">
      <w:start w:val="1"/>
      <w:numFmt w:val="bullet"/>
      <w:lvlText w:val="•"/>
      <w:lvlJc w:val="left"/>
      <w:pPr>
        <w:ind w:left="480" w:hanging="260"/>
      </w:pPr>
      <w:rPr>
        <w:color w:val="2E7D32"/>
      </w:rPr>
    </w:lvl>
  </w:abstractNum>
  <w:abstractNum w:abstractNumId="34" w15:restartNumberingAfterBreak="0">
    <w:multiLevelType w:val="hybridMultilevel"/>
    <w:lvl w:ilvl="0" w15:tentative="1">
      <w:start w:val="1"/>
      <w:numFmt w:val="bullet"/>
      <w:lvlText w:val="•"/>
      <w:lvlJc w:val="left"/>
      <w:pPr>
        <w:ind w:left="480" w:hanging="260"/>
      </w:pPr>
      <w:rPr>
        <w:color w:val="2E7D32"/>
      </w:rPr>
    </w:lvl>
  </w:abstractNum>
  <w:abstractNum w:abstractNumId="35" w15:restartNumberingAfterBreak="0">
    <w:multiLevelType w:val="hybridMultilevel"/>
    <w:lvl w:ilvl="0" w15:tentative="1">
      <w:start w:val="1"/>
      <w:numFmt w:val="bullet"/>
      <w:lvlText w:val="•"/>
      <w:lvlJc w:val="left"/>
      <w:pPr>
        <w:ind w:left="480" w:hanging="260"/>
      </w:pPr>
      <w:rPr>
        <w:color w:val="2E7D32"/>
      </w:rPr>
    </w:lvl>
  </w:abstractNum>
  <w:abstractNum w:abstractNumId="36" w15:restartNumberingAfterBreak="0">
    <w:multiLevelType w:val="hybridMultilevel"/>
    <w:lvl w:ilvl="0" w15:tentative="1">
      <w:start w:val="1"/>
      <w:numFmt w:val="bullet"/>
      <w:lvlText w:val="•"/>
      <w:lvlJc w:val="left"/>
      <w:pPr>
        <w:ind w:left="480" w:hanging="260"/>
      </w:pPr>
      <w:rPr>
        <w:color w:val="2E7D32"/>
      </w:rPr>
    </w:lvl>
  </w:abstractNum>
  <w:abstractNum w:abstractNumId="37" w15:restartNumberingAfterBreak="0">
    <w:multiLevelType w:val="hybridMultilevel"/>
    <w:lvl w:ilvl="0" w15:tentative="1">
      <w:start w:val="1"/>
      <w:numFmt w:val="bullet"/>
      <w:lvlText w:val="•"/>
      <w:lvlJc w:val="left"/>
      <w:pPr>
        <w:ind w:left="480" w:hanging="260"/>
      </w:pPr>
      <w:rPr>
        <w:color w:val="2E7D32"/>
      </w:rPr>
    </w:lvl>
  </w:abstractNum>
  <w:abstractNum w:abstractNumId="38" w15:restartNumberingAfterBreak="0">
    <w:multiLevelType w:val="hybridMultilevel"/>
    <w:lvl w:ilvl="0" w15:tentative="1">
      <w:start w:val="1"/>
      <w:numFmt w:val="bullet"/>
      <w:lvlText w:val="•"/>
      <w:lvlJc w:val="left"/>
      <w:pPr>
        <w:ind w:left="480" w:hanging="260"/>
      </w:pPr>
      <w:rPr>
        <w:color w:val="2E7D32"/>
      </w:rPr>
    </w:lvl>
  </w:abstractNum>
  <w:abstractNum w:abstractNumId="39" w15:restartNumberingAfterBreak="0">
    <w:multiLevelType w:val="hybridMultilevel"/>
    <w:lvl w:ilvl="0" w15:tentative="1">
      <w:start w:val="1"/>
      <w:numFmt w:val="bullet"/>
      <w:lvlText w:val="•"/>
      <w:lvlJc w:val="left"/>
      <w:pPr>
        <w:ind w:left="480" w:hanging="260"/>
      </w:pPr>
      <w:rPr>
        <w:color w:val="2E7D32"/>
      </w:rPr>
    </w:lvl>
  </w:abstractNum>
  <w:abstractNum w:abstractNumId="40" w15:restartNumberingAfterBreak="0">
    <w:multiLevelType w:val="hybridMultilevel"/>
    <w:lvl w:ilvl="0" w15:tentative="1">
      <w:start w:val="1"/>
      <w:numFmt w:val="bullet"/>
      <w:lvlText w:val="•"/>
      <w:lvlJc w:val="left"/>
      <w:pPr>
        <w:ind w:left="480" w:hanging="260"/>
      </w:pPr>
      <w:rPr>
        <w:color w:val="2E7D32"/>
      </w:rPr>
    </w:lvl>
  </w:abstractNum>
  <w:abstractNum w:abstractNumId="41" w15:restartNumberingAfterBreak="0">
    <w:multiLevelType w:val="hybridMultilevel"/>
    <w:lvl w:ilvl="0" w15:tentative="1">
      <w:start w:val="1"/>
      <w:numFmt w:val="bullet"/>
      <w:lvlText w:val="•"/>
      <w:lvlJc w:val="left"/>
      <w:pPr>
        <w:ind w:left="480" w:hanging="260"/>
      </w:pPr>
      <w:rPr>
        <w:color w:val="2E7D32"/>
      </w:rPr>
    </w:lvl>
  </w:abstractNum>
  <w:abstractNum w:abstractNumId="42" w15:restartNumberingAfterBreak="0">
    <w:multiLevelType w:val="hybridMultilevel"/>
    <w:lvl w:ilvl="0" w15:tentative="1">
      <w:start w:val="1"/>
      <w:numFmt w:val="bullet"/>
      <w:lvlText w:val="•"/>
      <w:lvlJc w:val="left"/>
      <w:pPr>
        <w:ind w:left="480" w:hanging="260"/>
      </w:pPr>
      <w:rPr>
        <w:color w:val="2E7D32"/>
      </w:rPr>
    </w:lvl>
  </w:abstractNum>
  <w:abstractNum w:abstractNumId="43" w15:restartNumberingAfterBreak="0">
    <w:multiLevelType w:val="hybridMultilevel"/>
    <w:lvl w:ilvl="0" w15:tentative="1">
      <w:start w:val="1"/>
      <w:numFmt w:val="bullet"/>
      <w:lvlText w:val="•"/>
      <w:lvlJc w:val="left"/>
      <w:pPr>
        <w:ind w:left="480" w:hanging="260"/>
      </w:pPr>
      <w:rPr>
        <w:color w:val="2E7D32"/>
      </w:rPr>
    </w:lvl>
  </w:abstractNum>
  <w:abstractNum w:abstractNumId="44" w15:restartNumberingAfterBreak="0">
    <w:multiLevelType w:val="hybridMultilevel"/>
    <w:lvl w:ilvl="0" w15:tentative="1">
      <w:start w:val="1"/>
      <w:numFmt w:val="bullet"/>
      <w:lvlText w:val="•"/>
      <w:lvlJc w:val="left"/>
      <w:pPr>
        <w:ind w:left="480" w:hanging="260"/>
      </w:pPr>
      <w:rPr>
        <w:color w:val="2E7D32"/>
      </w:rPr>
    </w:lvl>
  </w:abstractNum>
  <w:abstractNum w:abstractNumId="45" w15:restartNumberingAfterBreak="0">
    <w:multiLevelType w:val="hybridMultilevel"/>
    <w:lvl w:ilvl="0" w15:tentative="1">
      <w:start w:val="1"/>
      <w:numFmt w:val="bullet"/>
      <w:lvlText w:val="•"/>
      <w:lvlJc w:val="left"/>
      <w:pPr>
        <w:ind w:left="480" w:hanging="260"/>
      </w:pPr>
      <w:rPr>
        <w:color w:val="2E7D32"/>
      </w:rPr>
    </w:lvl>
  </w:abstractNum>
  <w:abstractNum w:abstractNumId="46" w15:restartNumberingAfterBreak="0">
    <w:multiLevelType w:val="hybridMultilevel"/>
    <w:lvl w:ilvl="0" w15:tentative="1">
      <w:start w:val="1"/>
      <w:numFmt w:val="bullet"/>
      <w:lvlText w:val="•"/>
      <w:lvlJc w:val="left"/>
      <w:pPr>
        <w:ind w:left="480" w:hanging="260"/>
      </w:pPr>
      <w:rPr>
        <w:color w:val="2E7D32"/>
      </w:rPr>
    </w:lvl>
  </w:abstractNum>
  <w:abstractNum w:abstractNumId="47" w15:restartNumberingAfterBreak="0">
    <w:multiLevelType w:val="hybridMultilevel"/>
    <w:lvl w:ilvl="0" w15:tentative="1">
      <w:start w:val="1"/>
      <w:numFmt w:val="bullet"/>
      <w:lvlText w:val="•"/>
      <w:lvlJc w:val="left"/>
      <w:pPr>
        <w:ind w:left="480" w:hanging="260"/>
      </w:pPr>
      <w:rPr>
        <w:color w:val="2E7D32"/>
      </w:rPr>
    </w:lvl>
  </w:abstractNum>
  <w:abstractNum w:abstractNumId="48" w15:restartNumberingAfterBreak="0">
    <w:multiLevelType w:val="hybridMultilevel"/>
    <w:lvl w:ilvl="0" w15:tentative="1">
      <w:start w:val="1"/>
      <w:numFmt w:val="bullet"/>
      <w:lvlText w:val="•"/>
      <w:lvlJc w:val="left"/>
      <w:pPr>
        <w:ind w:left="480" w:hanging="260"/>
      </w:pPr>
      <w:rPr>
        <w:color w:val="2E7D32"/>
      </w:rPr>
    </w:lvl>
  </w:abstractNum>
  <w:abstractNum w:abstractNumId="49" w15:restartNumberingAfterBreak="0">
    <w:multiLevelType w:val="hybridMultilevel"/>
    <w:lvl w:ilvl="0" w15:tentative="1">
      <w:start w:val="1"/>
      <w:numFmt w:val="bullet"/>
      <w:lvlText w:val="•"/>
      <w:lvlJc w:val="left"/>
      <w:pPr>
        <w:ind w:left="480" w:hanging="260"/>
      </w:pPr>
      <w:rPr>
        <w:color w:val="2E7D32"/>
      </w:rPr>
    </w:lvl>
  </w:abstractNum>
  <w:abstractNum w:abstractNumId="50" w15:restartNumberingAfterBreak="0">
    <w:multiLevelType w:val="hybridMultilevel"/>
    <w:lvl w:ilvl="0" w15:tentative="1">
      <w:start w:val="1"/>
      <w:numFmt w:val="bullet"/>
      <w:lvlText w:val="•"/>
      <w:lvlJc w:val="left"/>
      <w:pPr>
        <w:ind w:left="480" w:hanging="260"/>
      </w:pPr>
      <w:rPr>
        <w:color w:val="2E7D32"/>
      </w:rPr>
    </w:lvl>
  </w:abstractNum>
  <w:abstractNum w:abstractNumId="51" w15:restartNumberingAfterBreak="0">
    <w:multiLevelType w:val="hybridMultilevel"/>
    <w:lvl w:ilvl="0" w15:tentative="1">
      <w:start w:val="1"/>
      <w:numFmt w:val="bullet"/>
      <w:lvlText w:val="•"/>
      <w:lvlJc w:val="left"/>
      <w:pPr>
        <w:ind w:left="480" w:hanging="260"/>
      </w:pPr>
      <w:rPr>
        <w:color w:val="2E7D32"/>
      </w:rPr>
    </w:lvl>
  </w:abstractNum>
  <w:abstractNum w:abstractNumId="52" w15:restartNumberingAfterBreak="0">
    <w:multiLevelType w:val="hybridMultilevel"/>
    <w:lvl w:ilvl="0" w15:tentative="1">
      <w:start w:val="1"/>
      <w:numFmt w:val="bullet"/>
      <w:lvlText w:val="•"/>
      <w:lvlJc w:val="left"/>
      <w:pPr>
        <w:ind w:left="480" w:hanging="260"/>
      </w:pPr>
      <w:rPr>
        <w:color w:val="2E7D32"/>
      </w:rPr>
    </w:lvl>
  </w:abstractNum>
  <w:abstractNum w:abstractNumId="53" w15:restartNumberingAfterBreak="0">
    <w:multiLevelType w:val="hybridMultilevel"/>
    <w:lvl w:ilvl="0" w15:tentative="1">
      <w:start w:val="1"/>
      <w:numFmt w:val="bullet"/>
      <w:lvlText w:val="•"/>
      <w:lvlJc w:val="left"/>
      <w:pPr>
        <w:ind w:left="480" w:hanging="260"/>
      </w:pPr>
      <w:rPr>
        <w:color w:val="2E7D32"/>
      </w:rPr>
    </w:lvl>
  </w:abstractNum>
  <w:abstractNum w:abstractNumId="54" w15:restartNumberingAfterBreak="0">
    <w:multiLevelType w:val="hybridMultilevel"/>
    <w:lvl w:ilvl="0" w15:tentative="1">
      <w:start w:val="1"/>
      <w:numFmt w:val="bullet"/>
      <w:lvlText w:val="•"/>
      <w:lvlJc w:val="left"/>
      <w:pPr>
        <w:ind w:left="480" w:hanging="260"/>
      </w:pPr>
      <w:rPr>
        <w:color w:val="2E7D32"/>
      </w:rPr>
    </w:lvl>
  </w:abstractNum>
  <w:abstractNum w:abstractNumId="55" w15:restartNumberingAfterBreak="0">
    <w:multiLevelType w:val="hybridMultilevel"/>
    <w:lvl w:ilvl="0" w15:tentative="1">
      <w:start w:val="1"/>
      <w:numFmt w:val="bullet"/>
      <w:lvlText w:val="•"/>
      <w:lvlJc w:val="left"/>
      <w:pPr>
        <w:ind w:left="480" w:hanging="260"/>
      </w:pPr>
      <w:rPr>
        <w:color w:val="2E7D32"/>
      </w:rPr>
    </w:lvl>
  </w:abstractNum>
  <w:abstractNum w:abstractNumId="56" w15:restartNumberingAfterBreak="0">
    <w:multiLevelType w:val="hybridMultilevel"/>
    <w:lvl w:ilvl="0" w15:tentative="1">
      <w:start w:val="1"/>
      <w:numFmt w:val="bullet"/>
      <w:lvlText w:val="•"/>
      <w:lvlJc w:val="left"/>
      <w:pPr>
        <w:ind w:left="480" w:hanging="260"/>
      </w:pPr>
      <w:rPr>
        <w:color w:val="2E7D32"/>
      </w:rPr>
    </w:lvl>
  </w:abstractNum>
  <w:abstractNum w:abstractNumId="57" w15:restartNumberingAfterBreak="0">
    <w:multiLevelType w:val="hybridMultilevel"/>
    <w:lvl w:ilvl="0" w15:tentative="1">
      <w:start w:val="1"/>
      <w:numFmt w:val="bullet"/>
      <w:lvlText w:val="•"/>
      <w:lvlJc w:val="left"/>
      <w:pPr>
        <w:ind w:left="480" w:hanging="260"/>
      </w:pPr>
      <w:rPr>
        <w:color w:val="2E7D32"/>
      </w:rPr>
    </w:lvl>
  </w:abstractNum>
  <w:abstractNum w:abstractNumId="58" w15:restartNumberingAfterBreak="0">
    <w:multiLevelType w:val="hybridMultilevel"/>
    <w:lvl w:ilvl="0" w15:tentative="1">
      <w:start w:val="1"/>
      <w:numFmt w:val="bullet"/>
      <w:lvlText w:val="•"/>
      <w:lvlJc w:val="left"/>
      <w:pPr>
        <w:ind w:left="480" w:hanging="260"/>
      </w:pPr>
      <w:rPr>
        <w:color w:val="2E7D32"/>
      </w:rPr>
    </w:lvl>
  </w:abstractNum>
  <w:abstractNum w:abstractNumId="59" w15:restartNumberingAfterBreak="0">
    <w:multiLevelType w:val="hybridMultilevel"/>
    <w:lvl w:ilvl="0" w15:tentative="1">
      <w:start w:val="1"/>
      <w:numFmt w:val="bullet"/>
      <w:lvlText w:val="•"/>
      <w:lvlJc w:val="left"/>
      <w:pPr>
        <w:ind w:left="480" w:hanging="260"/>
      </w:pPr>
      <w:rPr>
        <w:color w:val="2E7D32"/>
      </w:rPr>
    </w:lvl>
  </w:abstractNum>
  <w:abstractNum w:abstractNumId="60" w15:restartNumberingAfterBreak="0">
    <w:multiLevelType w:val="hybridMultilevel"/>
    <w:lvl w:ilvl="0" w15:tentative="1">
      <w:start w:val="1"/>
      <w:numFmt w:val="bullet"/>
      <w:lvlText w:val="•"/>
      <w:lvlJc w:val="left"/>
      <w:pPr>
        <w:ind w:left="480" w:hanging="260"/>
      </w:pPr>
      <w:rPr>
        <w:color w:val="2E7D32"/>
      </w:rPr>
    </w:lvl>
  </w:abstractNum>
  <w:abstractNum w:abstractNumId="61" w15:restartNumberingAfterBreak="0">
    <w:multiLevelType w:val="hybridMultilevel"/>
    <w:lvl w:ilvl="0" w15:tentative="1">
      <w:start w:val="1"/>
      <w:numFmt w:val="bullet"/>
      <w:lvlText w:val="•"/>
      <w:lvlJc w:val="left"/>
      <w:pPr>
        <w:ind w:left="480" w:hanging="260"/>
      </w:pPr>
      <w:rPr>
        <w:color w:val="2E7D32"/>
      </w:rPr>
    </w:lvl>
  </w:abstractNum>
  <w:abstractNum w:abstractNumId="62"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62"/>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黑体" w:hAnsi="Times New Roman"/>
      <w:b/>
      <w:bCs/>
      <w:color w:val="1A237E"/>
      <w:sz w:val="34"/>
      <w:szCs w:val="34"/>
    </w:rPr>
  </w:style>
  <w:style w:type="paragraph" w:styleId="Heading2">
    <w:name w:val="Heading 2"/>
    <w:basedOn w:val="Normal"/>
    <w:next w:val="Normal"/>
    <w:qFormat/>
    <w:pPr>
      <w:keepNext/>
      <w:outlineLvl w:val="1"/>
    </w:pPr>
    <w:rPr>
      <w:rFonts w:ascii="Times New Roman" w:cs="Times New Roman" w:eastAsia="黑体" w:hAnsi="Times New Roman"/>
      <w:b/>
      <w:bCs/>
      <w:color w:val="283593"/>
      <w:sz w:val="26"/>
      <w:szCs w:val="26"/>
    </w:rPr>
  </w:style>
  <w:style w:type="paragraph" w:styleId="Heading3">
    <w:name w:val="Heading 3"/>
    <w:basedOn w:val="Normal"/>
    <w:next w:val="Normal"/>
    <w:qFormat/>
    <w:pPr>
      <w:keepNext/>
      <w:outlineLvl w:val="2"/>
    </w:pPr>
    <w:rPr>
      <w:rFonts w:ascii="Times New Roman" w:cs="Times New Roman" w:eastAsia="黑体" w:hAnsi="Times New Roman"/>
      <w:b/>
      <w:bCs/>
      <w:color w:val="1A23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DPP差距评估服务 · 产品手册 v2.0</dc:title>
  <dc:creator>守信财税 DPP业务线</dc:creator>
  <cp:lastModifiedBy>Un-named</cp:lastModifiedBy>
  <cp:revision>1</cp:revision>
  <dcterms:created xsi:type="dcterms:W3CDTF">2026-09-26T01:21:16.261Z</dcterms:created>
  <dcterms:modified xsi:type="dcterms:W3CDTF">2026-09-26T01:21:16.261Z</dcterms:modified>
</cp:coreProperties>
</file>

<file path=docProps/custom.xml><?xml version="1.0" encoding="utf-8"?>
<Properties xmlns="http://schemas.openxmlformats.org/officeDocument/2006/custom-properties" xmlns:vt="http://schemas.openxmlformats.org/officeDocument/2006/docPropsVTypes"/>
</file>