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rPr>
          <w:rFonts w:ascii="Times New Roman" w:cs="Times New Roman" w:eastAsia="宋体" w:hAnsi="Times New Roman"/>
          <w:sz w:val="21"/>
          <w:szCs w:val="21"/>
        </w:rPr>
        <w:t xml:space="preserve"/>
      </w:r>
    </w:p>
    <w:p>
      <w:pPr>
        <w:spacing w:after="0" w:before="400"/>
      </w:pPr>
      <w:r>
        <w:rPr>
          <w:rFonts w:ascii="Times New Roman" w:cs="Times New Roman" w:eastAsia="宋体" w:hAnsi="Times New Roman"/>
          <w:sz w:val="21"/>
          <w:szCs w:val="21"/>
        </w:rPr>
        <w:t xml:space="preserve"/>
      </w:r>
    </w:p>
    <w:p>
      <w:pPr>
        <w:spacing w:after="200"/>
        <w:jc w:val="center"/>
      </w:pPr>
      <w:r>
        <w:rPr>
          <w:rFonts w:ascii="Times New Roman" w:cs="Times New Roman" w:eastAsia="宋体" w:hAnsi="Times New Roman"/>
          <w:b/>
          <w:bCs/>
          <w:color w:val="1A237E"/>
          <w:sz w:val="56"/>
          <w:szCs w:val="56"/>
        </w:rPr>
        <w:t xml:space="preserve">DPP数据建设服务</w:t>
      </w:r>
    </w:p>
    <w:p>
      <w:pPr>
        <w:spacing w:after="120"/>
        <w:jc w:val="center"/>
      </w:pPr>
      <w:r>
        <w:rPr>
          <w:rFonts w:ascii="Times New Roman" w:cs="Times New Roman" w:eastAsia="宋体" w:hAnsi="Times New Roman"/>
          <w:color w:val="546E7A"/>
          <w:sz w:val="28"/>
          <w:szCs w:val="28"/>
        </w:rPr>
        <w:t xml:space="preserve">帮电池企业4-8周完成71个数据点的完整底册</w:t>
      </w:r>
    </w:p>
    <w:p>
      <w:pPr>
        <w:spacing w:after="300"/>
        <w:jc w:val="center"/>
      </w:pPr>
      <w:r>
        <w:rPr>
          <w:rFonts w:ascii="Times New Roman" w:cs="Times New Roman" w:eastAsia="宋体" w:hAnsi="Times New Roman"/>
          <w:color w:val="546E7A"/>
          <w:sz w:val="24"/>
          <w:szCs w:val="24"/>
        </w:rPr>
        <w:t xml:space="preserve">从数据规划 → 供应商采集 → 数据手册交付，全程专业托管</w:t>
      </w:r>
    </w:p>
    <w:p>
      <w:pPr>
        <w:spacing w:after="300"/>
        <w:jc w:val="center"/>
      </w:pPr>
      <w:r>
        <w:rPr>
          <w:rFonts w:ascii="Times New Roman" w:cs="Times New Roman" w:eastAsia="宋体" w:hAnsi="Times New Roman"/>
          <w:color w:val="2E7D32"/>
          <w:sz w:val="20"/>
          <w:szCs w:val="20"/>
        </w:rPr>
        <w:t xml:space="preserve">━━━━━━━━━━━━━━━━━━━━━━━━━━━━━━━━━━━━━━━━</w:t>
      </w:r>
    </w:p>
    <w:p>
      <w:pPr>
        <w:spacing w:after="80"/>
        <w:jc w:val="center"/>
      </w:pPr>
      <w:r>
        <w:rPr>
          <w:rFonts w:ascii="Times New Roman" w:cs="Times New Roman" w:eastAsia="宋体" w:hAnsi="Times New Roman"/>
          <w:color w:val="78909C"/>
          <w:sz w:val="22"/>
          <w:szCs w:val="22"/>
        </w:rPr>
        <w:t xml:space="preserve">v2.0细节版 · 2026年9月</w:t>
      </w:r>
    </w:p>
    <w:p>
      <w:pPr>
        <w:spacing w:after="300"/>
        <w:jc w:val="center"/>
      </w:pPr>
      <w:r>
        <w:rPr>
          <w:rFonts w:ascii="Times New Roman" w:cs="Times New Roman" w:eastAsia="宋体" w:hAnsi="Times New Roman"/>
          <w:color w:val="78909C"/>
          <w:sz w:val="22"/>
          <w:szCs w:val="22"/>
        </w:rPr>
        <w:t xml:space="preserve">守信财税 · DPP业务线</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71</w:t>
            </w:r>
          </w:p>
          <w:p>
            <w:pPr>
              <w:spacing w:after="0"/>
              <w:jc w:val="center"/>
            </w:pPr>
            <w:r>
              <w:rPr>
                <w:rFonts w:ascii="Times New Roman" w:cs="Times New Roman" w:eastAsia="宋体" w:hAnsi="Times New Roman"/>
                <w:color w:val="546E7A"/>
                <w:sz w:val="18"/>
                <w:szCs w:val="18"/>
              </w:rPr>
              <w:t xml:space="preserve">数据点全覆盖</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35</w:t>
            </w:r>
          </w:p>
          <w:p>
            <w:pPr>
              <w:spacing w:after="0"/>
              <w:jc w:val="center"/>
            </w:pPr>
            <w:r>
              <w:rPr>
                <w:rFonts w:ascii="Times New Roman" w:cs="Times New Roman" w:eastAsia="宋体" w:hAnsi="Times New Roman"/>
                <w:color w:val="546E7A"/>
                <w:sz w:val="18"/>
                <w:szCs w:val="18"/>
              </w:rPr>
              <w:t xml:space="preserve">字段 · 每型号数据卡</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9</w:t>
            </w:r>
          </w:p>
          <w:p>
            <w:pPr>
              <w:spacing w:after="0"/>
              <w:jc w:val="center"/>
            </w:pPr>
            <w:r>
              <w:rPr>
                <w:rFonts w:ascii="Times New Roman" w:cs="Times New Roman" w:eastAsia="宋体" w:hAnsi="Times New Roman"/>
                <w:color w:val="546E7A"/>
                <w:sz w:val="18"/>
                <w:szCs w:val="18"/>
              </w:rPr>
              <w:t xml:space="preserve">步标准流程</w:t>
            </w:r>
          </w:p>
        </w:tc>
        <w:tc>
          <w:tcPr>
            <w:tcW w:type="dxa" w:w="2268"/>
            <w:tcBorders>
              <w:top w:val="single" w:color="1A237E" w:sz="2"/>
              <w:left w:val="none" w:sz="0"/>
              <w:bottom w:val="single" w:color="1A237E" w:sz="2"/>
              <w:right w:val="none" w:sz="0"/>
            </w:tcBorders>
            <w:tcMar>
              <w:top w:type="dxa" w:w="160"/>
              <w:left w:type="dxa" w:w="80"/>
              <w:bottom w:type="dxa" w:w="160"/>
              <w:right w:type="dxa" w:w="80"/>
            </w:tcMar>
          </w:tcPr>
          <w:p>
            <w:pPr>
              <w:spacing w:after="40"/>
              <w:jc w:val="center"/>
            </w:pPr>
            <w:r>
              <w:rPr>
                <w:rFonts w:ascii="Times New Roman" w:cs="Times New Roman" w:eastAsia="宋体" w:hAnsi="Times New Roman"/>
                <w:b/>
                <w:bCs/>
                <w:color w:val="1A237E"/>
                <w:sz w:val="36"/>
                <w:szCs w:val="36"/>
              </w:rPr>
              <w:t xml:space="preserve">4-8周</w:t>
            </w:r>
          </w:p>
          <w:p>
            <w:pPr>
              <w:spacing w:after="0"/>
              <w:jc w:val="center"/>
            </w:pPr>
            <w:r>
              <w:rPr>
                <w:rFonts w:ascii="Times New Roman" w:cs="Times New Roman" w:eastAsia="宋体" w:hAnsi="Times New Roman"/>
                <w:color w:val="546E7A"/>
                <w:sz w:val="18"/>
                <w:szCs w:val="18"/>
              </w:rPr>
              <w:t xml:space="preserve">完成完整数据底册</w:t>
            </w:r>
          </w:p>
        </w:tc>
      </w:tr>
    </w:tbl>
    <w:p>
      <w:pPr>
        <w:spacing w:after="0" w:before="300"/>
      </w:pPr>
      <w:r>
        <w:rPr>
          <w:rFonts w:ascii="Times New Roman" w:cs="Times New Roman" w:eastAsia="宋体" w:hAnsi="Times New Roman"/>
          <w:sz w:val="21"/>
          <w:szCs w:val="21"/>
        </w:rPr>
        <w:t xml:space="preserve"/>
      </w:r>
    </w:p>
    <w:p>
      <w:pPr>
        <w:spacing w:after="200"/>
        <w:jc w:val="center"/>
      </w:pPr>
      <w:r>
        <w:rPr>
          <w:rFonts w:ascii="Times New Roman" w:cs="Times New Roman" w:eastAsia="宋体" w:hAnsi="Times New Roman"/>
          <w:b/>
          <w:bCs/>
          <w:color w:val="1A237E"/>
          <w:sz w:val="22"/>
          <w:szCs w:val="22"/>
        </w:rPr>
        <w:t xml:space="preserve">专注欧盟电池法规 (EU) 2023/1542 合规服务</w:t>
      </w:r>
    </w:p>
    <w:p>
      <w:pPr>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pPr>
    </w:p>
    <w:p>
      <w:pPr>
        <w:spacing w:after="60" w:before="120"/>
      </w:pPr>
      <w:r>
        <w:rPr>
          <w:rFonts w:ascii="Times New Roman" w:cs="Times New Roman" w:eastAsia="宋体" w:hAnsi="Times New Roman"/>
          <w:b/>
          <w:bCs/>
          <w:color w:val="2E7D32"/>
          <w:sz w:val="18"/>
          <w:szCs w:val="18"/>
        </w:rPr>
        <w:t xml:space="preserve">Part 01</w:t>
      </w:r>
    </w:p>
    <w:p>
      <w:pPr>
        <w:pStyle w:val="Heading1"/>
        <w:keepNext/>
        <w:spacing w:after="200" w:before="360"/>
      </w:pPr>
      <w:r>
        <w:rPr>
          <w:rFonts w:ascii="Times New Roman" w:cs="Times New Roman" w:eastAsia="宋体" w:hAnsi="Times New Roman"/>
          <w:b/>
          <w:bCs/>
          <w:color w:val="1A237E"/>
          <w:sz w:val="32"/>
          <w:szCs w:val="32"/>
        </w:rPr>
        <w:t xml:space="preserve">您面对的问题</w:t>
      </w:r>
    </w:p>
    <w:p>
      <w:pPr>
        <w:spacing w:after="120" w:line="300"/>
      </w:pPr>
      <w:r>
        <w:rPr>
          <w:rFonts w:ascii="Times New Roman" w:cs="Times New Roman" w:eastAsia="宋体" w:hAnsi="Times New Roman"/>
          <w:sz w:val="21"/>
          <w:szCs w:val="21"/>
        </w:rPr>
        <w:t xml:space="preserve">差距评估已经完成，您知道了“差什么”——但知道问题不等于解决问题。从「知道缺什么」到「数据齐备可提交」，中间还有大量系统性工作要做。</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知道差距≠填补差距</w:t>
            </w:r>
          </w:p>
          <w:p>
            <w:pPr>
              <w:spacing w:after="0" w:line="276"/>
            </w:pPr>
            <w:r>
              <w:rPr>
                <w:rFonts w:ascii="Times New Roman" w:cs="Times New Roman" w:eastAsia="宋体" w:hAnsi="Times New Roman"/>
                <w:color w:val="546E7A"/>
                <w:sz w:val="20"/>
                <w:szCs w:val="20"/>
              </w:rPr>
              <w:t xml:space="preserve">差距评估报告清楚地告诉您71个数据点缺了哪些，但每个缺口都需要实际收集、整理、核验——这是一项系统性工程，不是看看报告就能自动完成的。</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数据分散在多个部门</w:t>
            </w:r>
          </w:p>
          <w:p>
            <w:pPr>
              <w:spacing w:after="0" w:line="276"/>
            </w:pPr>
            <w:r>
              <w:rPr>
                <w:rFonts w:ascii="Times New Roman" w:cs="Times New Roman" w:eastAsia="宋体" w:hAnsi="Times New Roman"/>
                <w:color w:val="546E7A"/>
                <w:sz w:val="20"/>
                <w:szCs w:val="20"/>
              </w:rPr>
              <w:t xml:space="preserve">基本信息在行政/关务，技术参数在研发，检测报告在质量，BMS数据在IT，采购数据在供应链——没有一个部门掌握全貌，跨部门协调往往推不动。</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供应商不配合</w:t>
            </w:r>
          </w:p>
          <w:p>
            <w:pPr>
              <w:spacing w:after="0" w:line="276"/>
            </w:pPr>
            <w:r>
              <w:rPr>
                <w:rFonts w:ascii="Times New Roman" w:cs="Times New Roman" w:eastAsia="宋体" w:hAnsi="Times New Roman"/>
                <w:color w:val="546E7A"/>
                <w:sz w:val="20"/>
                <w:szCs w:val="20"/>
              </w:rPr>
              <w:t xml:space="preserve">再生含量、CRM原产国、冶炼厂信息等关键数据握在上游供应商手中。问卷发出去石沉大海、回复质量差、数据口径不一致——企业自己催收缺乏专业工具和谈判经验。</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数据格式不统一</w:t>
            </w:r>
          </w:p>
          <w:p>
            <w:pPr>
              <w:spacing w:after="0" w:line="276"/>
            </w:pPr>
            <w:r>
              <w:rPr>
                <w:rFonts w:ascii="Times New Roman" w:cs="Times New Roman" w:eastAsia="宋体" w:hAnsi="Times New Roman"/>
                <w:color w:val="546E7A"/>
                <w:sz w:val="20"/>
                <w:szCs w:val="20"/>
              </w:rPr>
              <w:t xml:space="preserve">不同供应商给的数据格式各异——Excel、PDF、邮件甚至口头回复，单位不一、口径不同，没有标准化模板，汇总后无法直接使用，还需大量人工清洗转换。</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缺乏核验标准</w:t>
            </w:r>
          </w:p>
          <w:p>
            <w:pPr>
              <w:spacing w:after="0" w:line="276"/>
            </w:pPr>
            <w:r>
              <w:rPr>
                <w:rFonts w:ascii="Times New Roman" w:cs="Times New Roman" w:eastAsia="宋体" w:hAnsi="Times New Roman"/>
                <w:color w:val="546E7A"/>
                <w:sz w:val="20"/>
                <w:szCs w:val="20"/>
              </w:rPr>
              <w:t xml:space="preserve">收到的数据是否准确、是否完整、是否符合法规口径？没有系统的核验流程，错误数据一旦提交到注册中心，后果比数据缺失更严重——可能触发市场监督调查。</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时间紧迫</w:t>
            </w:r>
          </w:p>
          <w:p>
            <w:pPr>
              <w:spacing w:after="0" w:line="276"/>
            </w:pPr>
            <w:r>
              <w:rPr>
                <w:rFonts w:ascii="Times New Roman" w:cs="Times New Roman" w:eastAsia="宋体" w:hAnsi="Times New Roman"/>
                <w:color w:val="546E7A"/>
                <w:sz w:val="20"/>
                <w:szCs w:val="20"/>
              </w:rPr>
              <w:t xml:space="preserve">2027年2月18日起，EV/LMT/工业电池(&gt;2kWh)必须有电池护照方可投放欧盟市场。数据采集、供应商协调、核验整理，每一项都需要时间，越晚启动成本越高。</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数据收集的5大难点详解</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4636"/>
        <w:gridCol w:w="3036"/>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难点</w:t>
            </w:r>
          </w:p>
        </w:tc>
        <w:tc>
          <w:tcPr>
            <w:tcW w:type="dxa" w:w="4636"/>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具体表现</w:t>
            </w:r>
          </w:p>
        </w:tc>
        <w:tc>
          <w:tcPr>
            <w:tcW w:type="dxa" w:w="3036"/>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影响</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1. 数据分散</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研发部门掌握技术参数、采购部门掌握供应商信息、质量部门掌握检测报告、IT部门掌握BMS数据——各部门各自为政，数据孤岛严重</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跨部门协调耗时2-4周，且容易遗漏关键数据</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2. 供应商不配合</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缺乏强制力要求供应商提供数据；沟通成本高，中小供应商不理解DPP要求；数据质量参差不齐，回复内容不完整</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供应商数据回收率通常不足50%，严重拖延进度</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3. 格式不统一</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Excel/PDF/邮件/口头回复混杂；单位不一致（如容量用Ah vs Wh）；数据口径不统一（如再生含量的计算基准不同）</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数据清洗工作量巨大，且容易出错</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4. 动态数据难追踪</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SoH（健康状态）、循环次数、温度历史等使用数据持续变化；需要与BMS系统对接或定期人工采集</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静态数据一次收集即可，但动态数据需要建立持续更新机制</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 法规合规判断难</w:t>
            </w:r>
          </w:p>
        </w:tc>
        <w:tc>
          <w:tcPr>
            <w:tcW w:type="dxa" w:w="46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71个数据点中哪些必须填、哪些可选、哪些条件适用——不同电池类别（EV/LMT/工业）要求不同；部分数据点截至2027年2月暂不需要填写</w:t>
            </w:r>
          </w:p>
        </w:tc>
        <w:tc>
          <w:tcPr>
            <w:tcW w:type="dxa" w:w="3036"/>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判断错误可能导致提交后被退回或触发合规风险</w:t>
            </w:r>
          </w:p>
        </w:tc>
      </w:tr>
    </w:tbl>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65100" w:sz="1"/>
              <w:left w:val="single" w:color="E65100" w:sz="6"/>
              <w:bottom w:val="single" w:color="E65100" w:sz="1"/>
              <w:right w:val="single" w:color="E65100" w:sz="1"/>
            </w:tcBorders>
            <w:shd w:fill="FFF8E1" w:color="auto" w:val="clear"/>
            <w:tcMar>
              <w:top w:type="dxa" w:w="120"/>
              <w:left w:type="dxa" w:w="160"/>
              <w:bottom w:type="dxa" w:w="120"/>
              <w:right w:type="dxa" w:w="160"/>
            </w:tcMar>
          </w:tcPr>
          <w:p>
            <w:pPr>
              <w:spacing w:after="40"/>
            </w:pPr>
            <w:r>
              <w:rPr>
                <w:rFonts w:ascii="Times New Roman" w:cs="Times New Roman" w:eastAsia="宋体" w:hAnsi="Times New Roman"/>
                <w:b/>
                <w:bCs/>
                <w:color w:val="E65100"/>
                <w:sz w:val="20"/>
                <w:szCs w:val="20"/>
              </w:rPr>
              <w:t xml:space="preserve">⚡ 核心矛盾</w:t>
            </w:r>
          </w:p>
          <w:p>
            <w:pPr>
              <w:spacing w:after="0" w:line="276"/>
            </w:pPr>
            <w:r>
              <w:rPr>
                <w:rFonts w:ascii="Times New Roman" w:cs="Times New Roman" w:eastAsia="宋体" w:hAnsi="Times New Roman"/>
                <w:color w:val="424242"/>
                <w:sz w:val="20"/>
                <w:szCs w:val="20"/>
              </w:rPr>
              <w:t xml:space="preserve">差距评估解决了“不知道”的问题，但解决“怎么补”需要专业的数据规划能力、供应商管理经验和标准化核验体系。数据建设服务，就是帮您把差距变成可执行、可交付的完整数据底册。</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02</w:t>
      </w:r>
    </w:p>
    <w:p>
      <w:pPr>
        <w:pStyle w:val="Heading1"/>
        <w:keepNext/>
        <w:spacing w:after="200" w:before="360"/>
      </w:pPr>
      <w:r>
        <w:rPr>
          <w:rFonts w:ascii="Times New Roman" w:cs="Times New Roman" w:eastAsia="宋体" w:hAnsi="Times New Roman"/>
          <w:b/>
          <w:bCs/>
          <w:color w:val="1A237E"/>
          <w:sz w:val="32"/>
          <w:szCs w:val="32"/>
        </w:rPr>
        <w:t xml:space="preserve">我们能帮您做什么</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2E7D32" w:sz="1"/>
              <w:left w:val="single" w:color="2E7D32" w:sz="6"/>
              <w:bottom w:val="single" w:color="2E7D32" w:sz="1"/>
              <w:right w:val="single" w:color="2E7D32" w:sz="1"/>
            </w:tcBorders>
            <w:shd w:fill="E8F5E9" w:color="auto" w:val="clear"/>
            <w:tcMar>
              <w:top w:type="dxa" w:w="120"/>
              <w:left w:type="dxa" w:w="160"/>
              <w:bottom w:type="dxa" w:w="120"/>
              <w:right w:type="dxa" w:w="160"/>
            </w:tcMar>
          </w:tcPr>
          <w:p>
            <w:pPr>
              <w:spacing w:after="40"/>
            </w:pPr>
            <w:r>
              <w:rPr>
                <w:rFonts w:ascii="Times New Roman" w:cs="Times New Roman" w:eastAsia="宋体" w:hAnsi="Times New Roman"/>
                <w:b/>
                <w:bCs/>
                <w:color w:val="2E7D32"/>
                <w:sz w:val="20"/>
                <w:szCs w:val="20"/>
              </w:rPr>
              <w:t xml:space="preserve">💡 核心价值</w:t>
            </w:r>
          </w:p>
          <w:p>
            <w:pPr>
              <w:spacing w:after="0" w:line="276"/>
            </w:pPr>
            <w:r>
              <w:rPr>
                <w:rFonts w:ascii="Times New Roman" w:cs="Times New Roman" w:eastAsia="宋体" w:hAnsi="Times New Roman"/>
                <w:color w:val="424242"/>
                <w:sz w:val="20"/>
                <w:szCs w:val="20"/>
              </w:rPr>
              <w:t xml:space="preserve">基于差距评估的结果，帮您建立每个电池型号的完整数据底册，辅导您从供应商那里回收缺失数据，最终形成可以直接提交注册中心的数据手册。</w:t>
            </w:r>
          </w:p>
        </w:tc>
      </w:tr>
    </w:tbl>
    <w:p>
      <w:pPr>
        <w:spacing w:after="0" w:before="120"/>
      </w:pPr>
      <w:r>
        <w:rPr>
          <w:rFonts w:ascii="Times New Roman" w:cs="Times New Roman" w:eastAsia="宋体" w:hAnsi="Times New Roman"/>
          <w:sz w:val="21"/>
          <w:szCs w:val="21"/>
        </w:rPr>
        <w:t xml:space="preserve"/>
      </w:r>
    </w:p>
    <w:p>
      <w:pPr>
        <w:spacing w:after="120" w:line="300"/>
      </w:pPr>
      <w:r>
        <w:rPr>
          <w:rFonts w:ascii="Times New Roman" w:cs="Times New Roman" w:eastAsia="宋体" w:hAnsi="Times New Roman"/>
          <w:sz w:val="21"/>
          <w:szCs w:val="21"/>
        </w:rPr>
        <w:t xml:space="preserve">一句话总结：</w:t>
      </w:r>
      <w:r>
        <w:rPr>
          <w:rFonts w:ascii="Times New Roman" w:cs="Times New Roman" w:eastAsia="宋体" w:hAnsi="Times New Roman"/>
          <w:b/>
          <w:bCs/>
          <w:sz w:val="21"/>
          <w:szCs w:val="21"/>
        </w:rPr>
        <w:t xml:space="preserve">不用自己摸索数据怎么收、问卷怎么发、供应商怎么催——我们全包。</w:t>
      </w:r>
    </w:p>
    <w:p>
      <w:pPr>
        <w:pStyle w:val="Heading2"/>
        <w:keepNext/>
        <w:spacing w:after="120" w:before="240"/>
      </w:pPr>
      <w:r>
        <w:rPr>
          <w:rFonts w:ascii="Times New Roman" w:cs="Times New Roman" w:eastAsia="宋体" w:hAnsi="Times New Roman"/>
          <w:b/>
          <w:bCs/>
          <w:color w:val="283593"/>
          <w:sz w:val="26"/>
          <w:szCs w:val="26"/>
        </w:rPr>
        <w:t xml:space="preserve">我们的方法论：四步数据建设体系</w:t>
      </w:r>
    </w:p>
    <w:p>
      <w:pPr>
        <w:spacing w:after="120" w:line="300"/>
      </w:pPr>
      <w:r>
        <w:rPr>
          <w:rFonts w:ascii="Times New Roman" w:cs="Times New Roman" w:eastAsia="宋体" w:hAnsi="Times New Roman"/>
          <w:sz w:val="21"/>
          <w:szCs w:val="21"/>
        </w:rPr>
        <w:t xml:space="preserve">我们将复杂的数据建设工作拆解为四个标准化步骤，确保每个环节可控、可追溯、可复核：</w:t>
      </w:r>
    </w:p>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1</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标准化数据卡</w:t>
            </w:r>
          </w:p>
          <w:p>
            <w:pPr>
              <w:spacing w:after="0" w:line="276"/>
            </w:pPr>
            <w:r>
              <w:rPr>
                <w:rFonts w:ascii="Times New Roman" w:cs="Times New Roman" w:eastAsia="宋体" w:hAnsi="Times New Roman"/>
                <w:color w:val="546E7A"/>
                <w:sz w:val="20"/>
                <w:szCs w:val="20"/>
              </w:rPr>
              <w:t xml:space="preserve">为每个电池型号（SKU）创建一张数据卡，包含35个标准字段，覆盖法规全部数据要求。字段分6组管理，每个字段标注状态：✅已填 / ⏳待补 / ⚪不适用。</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2</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结构化采集</w:t>
            </w:r>
          </w:p>
          <w:p>
            <w:pPr>
              <w:spacing w:after="0" w:line="276"/>
            </w:pPr>
            <w:r>
              <w:rPr>
                <w:rFonts w:ascii="Times New Roman" w:cs="Times New Roman" w:eastAsia="宋体" w:hAnsi="Times New Roman"/>
                <w:color w:val="546E7A"/>
                <w:sz w:val="20"/>
                <w:szCs w:val="20"/>
              </w:rPr>
              <w:t xml:space="preserve">基于数据卡的缺口分析，制定供应商问卷（中英双语7个Part）+ 催收机制（7-14-21天三级节奏）+ 责任分工（客户内部谁负责什么、我方负责什么）。</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3</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三级数据质量检查</w:t>
            </w:r>
          </w:p>
          <w:p>
            <w:pPr>
              <w:spacing w:after="0" w:line="276"/>
            </w:pPr>
            <w:r>
              <w:rPr>
                <w:rFonts w:ascii="Times New Roman" w:cs="Times New Roman" w:eastAsia="宋体" w:hAnsi="Times New Roman"/>
                <w:color w:val="546E7A"/>
                <w:sz w:val="20"/>
                <w:szCs w:val="20"/>
              </w:rPr>
              <w:t xml:space="preserve">L1 逻辑校验：数值范围合理性、单位一致性、必填项完整性
L2 交叉验证：多来源数据比对、历史趋势分析、行业基准对比
L3 法规合规：71数据点逐项检查、强制项确认、条件适用项判断</w:t>
            </w:r>
          </w:p>
        </w:tc>
      </w:tr>
    </w:tbl>
    <w:p>
      <w:pPr>
        <w:spacing w:after="0" w:before="8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600"/>
            <w:tcBorders>
              <w:top w:val="none" w:sz="0"/>
              <w:left w:val="none" w:sz="0"/>
              <w:bottom w:val="none" w:sz="0"/>
              <w:right w:val="none" w:sz="0"/>
            </w:tcBorders>
            <w:shd w:fill="1A237E" w:color="auto" w:val="clear"/>
            <w:tcMar>
              <w:top w:type="dxa" w:w="120"/>
              <w:left w:type="dxa" w:w="80"/>
              <w:bottom w:type="dxa" w:w="120"/>
              <w:right w:type="dxa" w:w="80"/>
            </w:tcMar>
            <w:vAlign w:val="center"/>
          </w:tcPr>
          <w:p>
            <w:pPr>
              <w:spacing w:after="0"/>
              <w:jc w:val="center"/>
            </w:pPr>
            <w:r>
              <w:rPr>
                <w:rFonts w:ascii="Times New Roman" w:cs="Times New Roman" w:eastAsia="宋体" w:hAnsi="Times New Roman"/>
                <w:b/>
                <w:bCs/>
                <w:color w:val="FFFFFF"/>
                <w:sz w:val="24"/>
                <w:szCs w:val="24"/>
              </w:rPr>
              <w:t xml:space="preserve">4</w:t>
            </w:r>
          </w:p>
        </w:tc>
        <w:tc>
          <w:tcPr>
            <w:tcW w:type="dxa" w:w="8472"/>
            <w:tcBorders>
              <w:top w:val="single" w:color="E0E0E0" w:sz="1"/>
              <w:left w:val="single" w:color="E0E0E0" w:sz="1"/>
              <w:bottom w:val="single" w:color="E0E0E0" w:sz="1"/>
              <w:right w:val="single" w:color="E0E0E0" w:sz="1"/>
            </w:tcBorders>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数据手册整合</w:t>
            </w:r>
          </w:p>
          <w:p>
            <w:pPr>
              <w:spacing w:after="0" w:line="276"/>
            </w:pPr>
            <w:r>
              <w:rPr>
                <w:rFonts w:ascii="Times New Roman" w:cs="Times New Roman" w:eastAsia="宋体" w:hAnsi="Times New Roman"/>
                <w:color w:val="546E7A"/>
                <w:sz w:val="20"/>
                <w:szCs w:val="20"/>
              </w:rPr>
              <w:t xml:space="preserve">将所有通过核验的数据整合为完整数据手册——包含数据卡、采集台账、供应商清单、合规性报告——可直接提交注册中心用于护照数据申报。</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数据卡35字段详解（分6组）</w:t>
      </w:r>
    </w:p>
    <w:p>
      <w:pPr>
        <w:spacing w:after="120" w:line="300"/>
      </w:pPr>
      <w:r>
        <w:rPr>
          <w:rFonts w:ascii="Times New Roman" w:cs="Times New Roman" w:eastAsia="宋体" w:hAnsi="Times New Roman"/>
          <w:sz w:val="21"/>
          <w:szCs w:val="21"/>
        </w:rPr>
        <w:t xml:space="preserve">每个电池型号一张数据卡，35个字段分6组管理，严格对应欧盟电池法规 (EU) 2023/1542 附录XIII的数据要求：</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4272"/>
        <w:gridCol w:w="2600"/>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分组</w:t>
            </w:r>
          </w:p>
        </w:tc>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字段数</w:t>
            </w:r>
          </w:p>
        </w:tc>
        <w:tc>
          <w:tcPr>
            <w:tcW w:type="dxa" w:w="42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包含字段</w:t>
            </w:r>
          </w:p>
        </w:tc>
        <w:tc>
          <w:tcPr>
            <w:tcW w:type="dxa" w:w="26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数据来源</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基本信息组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9项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制造商名称、地址与联系方式、电池类别、电池型号、序列号/批号、制造日期、制造地点、化学体系、电池重量</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企业内部 / 生产系统 / 规格书</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技术参数组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6项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标称电压、额定容量、额定功率/能量、循环寿命（预期循环次数）、预期寿命（日历年限）、质保条款</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规格书 / 研发部门 / 测试报告</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6项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有害物质信息、电池组件清单、关键原材料(CRM)清单、CRM原产国、冶炼厂/精炼厂名称与地址、再生含量比例（钴/铅/锂/镍）</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 / BOM表 / 检测报告</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CE认证/DoC符合性声明、测试报告、碳足迹声明、碳足迹等级、供应链尽职调查政策</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认证机构 / LCA机构 / 合规部门</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4项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供应商名称、供应层级（一级/二级）、负责的数据字段、数据提供日期与版本</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采购部门 / 供应商问卷</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动态数据组</w:t>
            </w:r>
          </w:p>
        </w:tc>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5项</w:t>
            </w:r>
          </w:p>
        </w:tc>
        <w:tc>
          <w:tcPr>
            <w:tcW w:type="dxa" w:w="4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健康状态(SoH)数据来源与更新频率、充放电循环次数、温度历史记录、故障与维护记录机制、电池状态（原始/再利用/废弃物）</w:t>
            </w:r>
          </w:p>
        </w:tc>
        <w:tc>
          <w:tcPr>
            <w:tcW w:type="dxa" w:w="26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BMS系统 / IT部门 / 售后部门</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字段完整性说明</w:t>
            </w:r>
          </w:p>
          <w:p>
            <w:pPr>
              <w:spacing w:after="0" w:line="276"/>
            </w:pPr>
            <w:r>
              <w:rPr>
                <w:rFonts w:ascii="Times New Roman" w:cs="Times New Roman" w:eastAsia="宋体" w:hAnsi="Times New Roman"/>
                <w:color w:val="424242"/>
                <w:sz w:val="20"/>
                <w:szCs w:val="20"/>
              </w:rPr>
              <w:t xml:space="preserve">35个字段并非所有型号都必须全部填写。每个字段根据电池类别（EV/LMT/工业）和企业实际情况标注适用性。不适用的字段标注“⚪不适用”并注明法规依据。所有“✅已填”字段必须挂载证据文件编号，可追溯到原始文件。</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服务包含两个模块</w:t>
      </w:r>
    </w:p>
    <w:p>
      <w:pPr>
        <w:pStyle w:val="Heading3"/>
        <w:keepNext/>
        <w:spacing w:after="100" w:before="200"/>
      </w:pPr>
      <w:r>
        <w:rPr>
          <w:rFonts w:ascii="Times New Roman" w:cs="Times New Roman" w:eastAsia="宋体" w:hAnsi="Times New Roman"/>
          <w:b/>
          <w:bCs/>
          <w:color w:val="1A237E"/>
          <w:sz w:val="24"/>
          <w:szCs w:val="24"/>
        </w:rPr>
        <w:t xml:space="preserve">模块一：数据规划</w:t>
      </w:r>
    </w:p>
    <w:p>
      <w:pPr>
        <w:spacing w:after="120" w:line="300"/>
      </w:pPr>
      <w:r>
        <w:rPr>
          <w:rFonts w:ascii="Times New Roman" w:cs="Times New Roman" w:eastAsia="宋体" w:hAnsi="Times New Roman"/>
          <w:sz w:val="21"/>
          <w:szCs w:val="21"/>
        </w:rPr>
        <w:t xml:space="preserve">为每个电池型号建立标准化的DPP数据卡，明确数据缺口与采集路径</w:t>
      </w:r>
    </w:p>
    <w:p>
      <w:pPr>
        <w:pStyle w:val="ListParagraph"/>
        <w:numPr>
          <w:ilvl w:val="0"/>
          <w:numId w:val="2"/>
        </w:numPr>
        <w:spacing w:after="60" w:line="276"/>
      </w:pPr>
      <w:r>
        <w:rPr>
          <w:rFonts w:ascii="Times New Roman" w:cs="Times New Roman" w:eastAsia="宋体" w:hAnsi="Times New Roman"/>
          <w:sz w:val="21"/>
          <w:szCs w:val="21"/>
        </w:rPr>
        <w:t xml:space="preserve">数据卡建立流程：从差距评估报告迁移已有数据 → 为每个型号创建数据卡模板 → 字段状态标注（✅已填/⏳待补/⚪不适用）→ 数据缺口自动统计</w:t>
      </w:r>
    </w:p>
    <w:p>
      <w:pPr>
        <w:pStyle w:val="ListParagraph"/>
        <w:numPr>
          <w:ilvl w:val="0"/>
          <w:numId w:val="2"/>
        </w:numPr>
        <w:spacing w:after="60" w:line="276"/>
      </w:pPr>
      <w:r>
        <w:rPr>
          <w:rFonts w:ascii="Times New Roman" w:cs="Times New Roman" w:eastAsia="宋体" w:hAnsi="Times New Roman"/>
          <w:sz w:val="21"/>
          <w:szCs w:val="21"/>
        </w:rPr>
        <w:t xml:space="preserve">缺口分析报告：总体缺口统计（多少字段待补）→ 按来源分类（内部数据/供应商数据/第三方检测）→ 按优先级分类（阻塞项/重要项/可选项）</w:t>
      </w:r>
    </w:p>
    <w:p>
      <w:pPr>
        <w:pStyle w:val="ListParagraph"/>
        <w:numPr>
          <w:ilvl w:val="0"/>
          <w:numId w:val="2"/>
        </w:numPr>
        <w:spacing w:after="60" w:line="276"/>
      </w:pPr>
      <w:r>
        <w:rPr>
          <w:rFonts w:ascii="Times New Roman" w:cs="Times New Roman" w:eastAsia="宋体" w:hAnsi="Times New Roman"/>
          <w:sz w:val="21"/>
          <w:szCs w:val="21"/>
        </w:rPr>
        <w:t xml:space="preserve">采集计划：供应商清单（名称、联系人、负责的数据字段）→ 采集时间表（每批次问卷发放/回收/核验时间）→ 责任分工</w:t>
      </w:r>
    </w:p>
    <w:p>
      <w:pPr>
        <w:pStyle w:val="ListParagraph"/>
        <w:numPr>
          <w:ilvl w:val="0"/>
          <w:numId w:val="2"/>
        </w:numPr>
        <w:spacing w:after="60" w:line="276"/>
      </w:pPr>
      <w:r>
        <w:rPr>
          <w:rFonts w:ascii="Times New Roman" w:cs="Times New Roman" w:eastAsia="宋体" w:hAnsi="Times New Roman"/>
          <w:sz w:val="21"/>
          <w:szCs w:val="21"/>
        </w:rPr>
        <w:t xml:space="preserve">准备供应商问卷：中英双语标准问卷（Part A-G，7个部分）</w:t>
      </w:r>
    </w:p>
    <w:p>
      <w:pPr>
        <w:pStyle w:val="Heading3"/>
        <w:keepNext/>
        <w:spacing w:after="100" w:before="200"/>
      </w:pPr>
      <w:r>
        <w:rPr>
          <w:rFonts w:ascii="Times New Roman" w:cs="Times New Roman" w:eastAsia="宋体" w:hAnsi="Times New Roman"/>
          <w:b/>
          <w:bCs/>
          <w:color w:val="1A237E"/>
          <w:sz w:val="24"/>
          <w:szCs w:val="24"/>
        </w:rPr>
        <w:t xml:space="preserve">模块二：供应商采集辅导</w:t>
      </w:r>
    </w:p>
    <w:p>
      <w:pPr>
        <w:spacing w:after="120" w:line="300"/>
      </w:pPr>
      <w:r>
        <w:rPr>
          <w:rFonts w:ascii="Times New Roman" w:cs="Times New Roman" w:eastAsia="宋体" w:hAnsi="Times New Roman"/>
          <w:sz w:val="21"/>
          <w:szCs w:val="21"/>
        </w:rPr>
        <w:t xml:space="preserve">代发问卷、催收管理、三级核验——确保供应商数据高质量入库</w:t>
      </w:r>
    </w:p>
    <w:p>
      <w:pPr>
        <w:pStyle w:val="ListParagraph"/>
        <w:numPr>
          <w:ilvl w:val="0"/>
          <w:numId w:val="2"/>
        </w:numPr>
        <w:spacing w:after="60" w:line="276"/>
      </w:pPr>
      <w:r>
        <w:rPr>
          <w:rFonts w:ascii="Times New Roman" w:cs="Times New Roman" w:eastAsia="宋体" w:hAnsi="Times New Roman"/>
          <w:sz w:val="21"/>
          <w:szCs w:val="21"/>
        </w:rPr>
        <w:t xml:space="preserve">问卷发放流程：中英双语标准问卷（Part A-G共7部分）附采集指引信（用途说明+保密承诺+截止日期）</w:t>
      </w:r>
    </w:p>
    <w:p>
      <w:pPr>
        <w:pStyle w:val="ListParagraph"/>
        <w:numPr>
          <w:ilvl w:val="0"/>
          <w:numId w:val="2"/>
        </w:numPr>
        <w:spacing w:after="60" w:line="276"/>
      </w:pPr>
      <w:r>
        <w:rPr>
          <w:rFonts w:ascii="Times New Roman" w:cs="Times New Roman" w:eastAsia="宋体" w:hAnsi="Times New Roman"/>
          <w:sz w:val="21"/>
          <w:szCs w:val="21"/>
        </w:rPr>
        <w:t xml:space="preserve">催收管理机制：第1周发放+说明电话 → 第2周未回复供应商提醒 → 第3周逾期供应商升级（客户协助）→ 第4周最终催收+替代方案讨论</w:t>
      </w:r>
    </w:p>
    <w:p>
      <w:pPr>
        <w:pStyle w:val="ListParagraph"/>
        <w:numPr>
          <w:ilvl w:val="0"/>
          <w:numId w:val="2"/>
        </w:numPr>
        <w:spacing w:after="60" w:line="276"/>
      </w:pPr>
      <w:r>
        <w:rPr>
          <w:rFonts w:ascii="Times New Roman" w:cs="Times New Roman" w:eastAsia="宋体" w:hAnsi="Times New Roman"/>
          <w:sz w:val="21"/>
          <w:szCs w:val="21"/>
        </w:rPr>
        <w:t xml:space="preserve">数据核验三级体系：L1 逻辑校验（数值范围/单位/必填项）→ L2 交叉验证（多源比对/趋势分析/基准对比）→ L3 法规合规（71数据点逐项检查）</w:t>
      </w:r>
    </w:p>
    <w:p>
      <w:pPr>
        <w:pStyle w:val="ListParagraph"/>
        <w:numPr>
          <w:ilvl w:val="0"/>
          <w:numId w:val="2"/>
        </w:numPr>
        <w:spacing w:after="60" w:line="276"/>
      </w:pPr>
      <w:r>
        <w:rPr>
          <w:rFonts w:ascii="Times New Roman" w:cs="Times New Roman" w:eastAsia="宋体" w:hAnsi="Times New Roman"/>
          <w:sz w:val="21"/>
          <w:szCs w:val="21"/>
        </w:rPr>
        <w:t xml:space="preserve">数据录入：核验通过的数据录入数据手册，形成完整底册</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两个模块的关系</w:t>
            </w:r>
          </w:p>
          <w:p>
            <w:pPr>
              <w:spacing w:after="0" w:line="276"/>
            </w:pPr>
            <w:r>
              <w:rPr>
                <w:rFonts w:ascii="Times New Roman" w:cs="Times New Roman" w:eastAsia="宋体" w:hAnsi="Times New Roman"/>
                <w:color w:val="424242"/>
                <w:sz w:val="20"/>
                <w:szCs w:val="20"/>
              </w:rPr>
              <w:t xml:space="preserve">数据规划是框架，供应商采集是填充。先做数据规划建立数据卡和缺口分析，缺口中“供应商数据缺口”直接进入采集辅导的工作范围。两个模块打包执行效果最佳，避免信息断层和重复沟通。</w:t>
            </w:r>
          </w:p>
        </w:tc>
      </w:tr>
    </w:tbl>
    <w:p>
      <w:pPr>
        <w:spacing w:after="60" w:before="120"/>
      </w:pPr>
      <w:r>
        <w:rPr>
          <w:rFonts w:ascii="Times New Roman" w:cs="Times New Roman" w:eastAsia="宋体" w:hAnsi="Times New Roman"/>
          <w:b/>
          <w:bCs/>
          <w:color w:val="2E7D32"/>
          <w:sz w:val="18"/>
          <w:szCs w:val="18"/>
        </w:rPr>
        <w:t xml:space="preserve">模块详解</w:t>
      </w:r>
    </w:p>
    <w:p>
      <w:pPr>
        <w:pStyle w:val="Heading1"/>
        <w:keepNext/>
        <w:spacing w:after="200" w:before="360"/>
      </w:pPr>
      <w:r>
        <w:rPr>
          <w:rFonts w:ascii="Times New Roman" w:cs="Times New Roman" w:eastAsia="宋体" w:hAnsi="Times New Roman"/>
          <w:b/>
          <w:bCs/>
          <w:color w:val="1A237E"/>
          <w:sz w:val="32"/>
          <w:szCs w:val="32"/>
        </w:rPr>
        <w:t xml:space="preserve">供应商问卷结构与催收管理详解</w:t>
      </w:r>
    </w:p>
    <w:p>
      <w:pPr>
        <w:pStyle w:val="Heading2"/>
        <w:keepNext/>
        <w:spacing w:after="120" w:before="240"/>
      </w:pPr>
      <w:r>
        <w:rPr>
          <w:rFonts w:ascii="Times New Roman" w:cs="Times New Roman" w:eastAsia="宋体" w:hAnsi="Times New Roman"/>
          <w:b/>
          <w:bCs/>
          <w:color w:val="283593"/>
          <w:sz w:val="26"/>
          <w:szCs w:val="26"/>
        </w:rPr>
        <w:t xml:space="preserve">供应商问卷结构（Part A-G，7个部分）</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072"/>
        <w:gridCol w:w="2000"/>
      </w:tblGrid>
      <w:tr>
        <w:trPr>
          <w:tblHeader/>
        </w:trPr>
        <w:tc>
          <w:tcPr>
            <w:tcW w:type="dxa" w:w="1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Part</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主题</w:t>
            </w:r>
          </w:p>
        </w:tc>
        <w:tc>
          <w:tcPr>
            <w:tcW w:type="dxa" w:w="40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采集内容</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对应字段</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A</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供应商基本信息</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公司全称、注册地址、联系人、成立时间、员工人数、主营业务范围</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B</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电池材料组成</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正极材料、负极材料、电解液成分、隔膜材料、外壳材料；有害物质含量声明</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C</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生产工艺数据</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关键工艺步骤、能耗数据、生产地点、质量管理体系认证</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技术参数组（部分）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D</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环境数据（碳足迹相关）</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碳排放数据、LCA研究摘要、可再生能源使用比例、废弃物处理方案</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合规组（碳足迹）</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E</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质量与认证数据</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ISO 9001/14001/45001证书编号、IATF 16949、测试报告编号、产品合规声明</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合规组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F</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供应链尽调信息</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关键原材料(CRM)来源国、冶炼厂/精炼厂名称地址、尽职调查政策、RMI审核情况</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材料组+合规组</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Part G</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数据授权声明</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数据真实性承诺、配合DPP数据对接授权、定期更新承诺、保密条款确认</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全局</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催收管理机制</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0"/>
        <w:gridCol w:w="2200"/>
        <w:gridCol w:w="4072"/>
        <w:gridCol w:w="1800"/>
      </w:tblGrid>
      <w:tr>
        <w:trPr>
          <w:tblHeader/>
        </w:trPr>
        <w:tc>
          <w:tcPr>
            <w:tcW w:type="dxa" w:w="1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时间节点</w:t>
            </w:r>
          </w:p>
        </w:tc>
        <w:tc>
          <w:tcPr>
            <w:tcW w:type="dxa" w:w="22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动作</w:t>
            </w:r>
          </w:p>
        </w:tc>
        <w:tc>
          <w:tcPr>
            <w:tcW w:type="dxa" w:w="40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方式</w:t>
            </w:r>
          </w:p>
        </w:tc>
        <w:tc>
          <w:tcPr>
            <w:tcW w:type="dxa" w:w="1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责任人</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第1周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问卷发放 + 说明电话</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邮件发送正式问卷 + 电话沟通说明用途、保密性、截止日期</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第2周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未回复供应商首次提醒</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邮件/微信温和提醒，询问是否需要填写协助</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第3周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逾期供应商升级催收</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电话+邮件强调截止日期，同步通知客户采购部门协助介入</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我方+客户采购</w:t>
            </w:r>
          </w:p>
        </w:tc>
      </w:tr>
      <w:tr>
        <w:tc>
          <w:tcPr>
            <w:tcW w:type="dxa" w:w="1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第4周</w:t>
            </w:r>
          </w:p>
        </w:tc>
        <w:tc>
          <w:tcPr>
            <w:tcW w:type="dxa" w:w="22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最终催收 + 替代方案讨论</w:t>
            </w:r>
          </w:p>
        </w:tc>
        <w:tc>
          <w:tcPr>
            <w:tcW w:type="dxa" w:w="40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最后通牒；对C级供应商讨论替代方案（第三方检测/更换供应商）</w:t>
            </w:r>
          </w:p>
        </w:tc>
        <w:tc>
          <w:tcPr>
            <w:tcW w:type="dxa" w:w="1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我方项目经理</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数据核验三级体系</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3672"/>
        <w:gridCol w:w="2000"/>
      </w:tblGrid>
      <w:tr>
        <w:trPr>
          <w:tblHeader/>
        </w:trPr>
        <w:tc>
          <w:tcPr>
            <w:tcW w:type="dxa" w:w="1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级别</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核验内容</w:t>
            </w:r>
          </w:p>
        </w:tc>
        <w:tc>
          <w:tcPr>
            <w:tcW w:type="dxa" w:w="36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具体方法</w:t>
            </w:r>
          </w:p>
        </w:tc>
        <w:tc>
          <w:tcPr>
            <w:tcW w:type="dxa" w:w="20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通过标准</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L1 逻辑校验</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数据完整性与合理性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①必填项100%有值 ②数值在合理范围内（如容量&gt;0、重量&gt;0）③单位一致性检查（Ah/Wh/kg统一）④日期格式规范</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必填项无空值，数值逻辑自洽</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L2 交叉验证</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多来源数据一致性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①同一材料不同供应商的数据比对 ②再生含量加总合理性检查（总比例不超过100%）③历史数据趋势分析 ④行业基准对比（偏离超过30%标记）</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多源数据无矛盾，偏差在可接受范围</w:t>
            </w:r>
          </w:p>
        </w:tc>
      </w:tr>
      <w:tr>
        <w:tc>
          <w:tcPr>
            <w:tcW w:type="dxa" w:w="1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L3 法规合规</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法规逐项符合性</w:t>
            </w:r>
          </w:p>
        </w:tc>
        <w:tc>
          <w:tcPr>
            <w:tcW w:type="dxa" w:w="36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①71个数据点逐项核对 ②强制项是否齐备 ③条件适用项的判断依据是否正确 ④测试方法是否符合法规指定标准 ⑤数据粒度是否满足注册要求</w:t>
            </w:r>
          </w:p>
        </w:tc>
        <w:tc>
          <w:tcPr>
            <w:tcW w:type="dxa" w:w="20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每个数据点的合规性已确认，风险项已标注</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03</w:t>
      </w:r>
    </w:p>
    <w:p>
      <w:pPr>
        <w:pStyle w:val="Heading1"/>
        <w:keepNext/>
        <w:spacing w:after="200" w:before="360"/>
      </w:pPr>
      <w:r>
        <w:rPr>
          <w:rFonts w:ascii="Times New Roman" w:cs="Times New Roman" w:eastAsia="宋体" w:hAnsi="Times New Roman"/>
          <w:b/>
          <w:bCs/>
          <w:color w:val="1A237E"/>
          <w:sz w:val="32"/>
          <w:szCs w:val="32"/>
        </w:rPr>
        <w:t xml:space="preserve">我们具体怎么工作</w:t>
      </w:r>
    </w:p>
    <w:p>
      <w:pPr>
        <w:spacing w:after="120" w:line="300"/>
      </w:pPr>
      <w:r>
        <w:rPr>
          <w:rFonts w:ascii="Times New Roman" w:cs="Times New Roman" w:eastAsia="宋体" w:hAnsi="Times New Roman"/>
          <w:sz w:val="21"/>
          <w:szCs w:val="21"/>
        </w:rPr>
        <w:t xml:space="preserve">9个标准步骤，分三个阶段推进。标准版4-6周完成，旗舰版6-8周完成。全程NDA保密，资料经加密安全通道传递。</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1A237E"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1 · 数据规划阶段（第1-2周）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① 项目启动与范围确认</w:t>
      </w:r>
    </w:p>
    <w:p>
      <w:pPr>
        <w:spacing w:after="80"/>
      </w:pPr>
      <w:r>
        <w:rPr>
          <w:rFonts w:ascii="Times New Roman" w:cs="Times New Roman" w:eastAsia="宋体" w:hAnsi="Times New Roman"/>
          <w:b/>
          <w:bCs/>
          <w:color w:val="1A237E"/>
          <w:sz w:val="18"/>
          <w:szCs w:val="18"/>
        </w:rPr>
        <w:t xml:space="preserve">⏱ 第1-2天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合同签署、NDA保密协议签署</w:t>
      </w:r>
    </w:p>
    <w:p>
      <w:pPr>
        <w:pStyle w:val="ListParagraph"/>
        <w:numPr>
          <w:ilvl w:val="0"/>
          <w:numId w:val="2"/>
        </w:numPr>
        <w:spacing w:after="60" w:line="276"/>
      </w:pPr>
      <w:r>
        <w:rPr>
          <w:rFonts w:ascii="Times New Roman" w:cs="Times New Roman" w:eastAsia="宋体" w:hAnsi="Times New Roman"/>
          <w:sz w:val="21"/>
          <w:szCs w:val="21"/>
        </w:rPr>
        <w:t xml:space="preserve">召开项目启动会（线上/线下），明确项目目标、时间计划、沟通机制</w:t>
      </w:r>
    </w:p>
    <w:p>
      <w:pPr>
        <w:pStyle w:val="ListParagraph"/>
        <w:numPr>
          <w:ilvl w:val="0"/>
          <w:numId w:val="2"/>
        </w:numPr>
        <w:spacing w:after="60" w:line="276"/>
      </w:pPr>
      <w:r>
        <w:rPr>
          <w:rFonts w:ascii="Times New Roman" w:cs="Times New Roman" w:eastAsia="宋体" w:hAnsi="Times New Roman"/>
          <w:sz w:val="21"/>
          <w:szCs w:val="21"/>
        </w:rPr>
        <w:t xml:space="preserve">确认电池型号清单（SKU）与适用的数据字段范围</w:t>
      </w:r>
    </w:p>
    <w:p>
      <w:pPr>
        <w:pStyle w:val="ListParagraph"/>
        <w:numPr>
          <w:ilvl w:val="0"/>
          <w:numId w:val="2"/>
        </w:numPr>
        <w:spacing w:after="60" w:line="276"/>
      </w:pPr>
      <w:r>
        <w:rPr>
          <w:rFonts w:ascii="Times New Roman" w:cs="Times New Roman" w:eastAsia="宋体" w:hAnsi="Times New Roman"/>
          <w:sz w:val="21"/>
          <w:szCs w:val="21"/>
        </w:rPr>
        <w:t xml:space="preserve">指定项目经理（您的唯一接口人），建立加密沟通通道</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指定内部项目经理（协调各部门数据的唯一接口人）</w:t>
      </w:r>
    </w:p>
    <w:p>
      <w:pPr>
        <w:pStyle w:val="ListParagraph"/>
        <w:numPr>
          <w:ilvl w:val="0"/>
          <w:numId w:val="2"/>
        </w:numPr>
        <w:spacing w:after="60" w:line="276"/>
      </w:pPr>
      <w:r>
        <w:rPr>
          <w:rFonts w:ascii="Times New Roman" w:cs="Times New Roman" w:eastAsia="宋体" w:hAnsi="Times New Roman"/>
          <w:sz w:val="21"/>
          <w:szCs w:val="21"/>
        </w:rPr>
        <w:t xml:space="preserve">提供完整SKU清单（型号名称、电池类别、规格书）</w:t>
      </w:r>
    </w:p>
    <w:p>
      <w:pPr>
        <w:pStyle w:val="ListParagraph"/>
        <w:numPr>
          <w:ilvl w:val="0"/>
          <w:numId w:val="2"/>
        </w:numPr>
        <w:spacing w:after="60" w:line="276"/>
      </w:pPr>
      <w:r>
        <w:rPr>
          <w:rFonts w:ascii="Times New Roman" w:cs="Times New Roman" w:eastAsia="宋体" w:hAnsi="Times New Roman"/>
          <w:sz w:val="21"/>
          <w:szCs w:val="21"/>
        </w:rPr>
        <w:t xml:space="preserve">安排启动会参与人员（项目经理+技术负责人+采购负责人）</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《项目启动书》《范围确认书》《沟通机制说明》</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② 数据卡建立</w:t>
      </w:r>
    </w:p>
    <w:p>
      <w:pPr>
        <w:spacing w:after="80"/>
      </w:pPr>
      <w:r>
        <w:rPr>
          <w:rFonts w:ascii="Times New Roman" w:cs="Times New Roman" w:eastAsia="宋体" w:hAnsi="Times New Roman"/>
          <w:b/>
          <w:bCs/>
          <w:color w:val="1A237E"/>
          <w:sz w:val="18"/>
          <w:szCs w:val="18"/>
        </w:rPr>
        <w:t xml:space="preserve">⏱ 第2-5天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从差距评估报告迁移已有数据，避免重复收集</w:t>
      </w:r>
    </w:p>
    <w:p>
      <w:pPr>
        <w:pStyle w:val="ListParagraph"/>
        <w:numPr>
          <w:ilvl w:val="0"/>
          <w:numId w:val="2"/>
        </w:numPr>
        <w:spacing w:after="60" w:line="276"/>
      </w:pPr>
      <w:r>
        <w:rPr>
          <w:rFonts w:ascii="Times New Roman" w:cs="Times New Roman" w:eastAsia="宋体" w:hAnsi="Times New Roman"/>
          <w:sz w:val="21"/>
          <w:szCs w:val="21"/>
        </w:rPr>
        <w:t xml:space="preserve">为每个电池型号创建数据卡模板（35字段 × N个型号）</w:t>
      </w:r>
    </w:p>
    <w:p>
      <w:pPr>
        <w:pStyle w:val="ListParagraph"/>
        <w:numPr>
          <w:ilvl w:val="0"/>
          <w:numId w:val="2"/>
        </w:numPr>
        <w:spacing w:after="60" w:line="276"/>
      </w:pPr>
      <w:r>
        <w:rPr>
          <w:rFonts w:ascii="Times New Roman" w:cs="Times New Roman" w:eastAsia="宋体" w:hAnsi="Times New Roman"/>
          <w:sz w:val="21"/>
          <w:szCs w:val="21"/>
        </w:rPr>
        <w:t xml:space="preserve">逐项标注字段状态：✅已填（含证据编号）/ ⏳待补 / ⚪不适用（注明法规依据）</w:t>
      </w:r>
    </w:p>
    <w:p>
      <w:pPr>
        <w:pStyle w:val="ListParagraph"/>
        <w:numPr>
          <w:ilvl w:val="0"/>
          <w:numId w:val="2"/>
        </w:numPr>
        <w:spacing w:after="60" w:line="276"/>
      </w:pPr>
      <w:r>
        <w:rPr>
          <w:rFonts w:ascii="Times New Roman" w:cs="Times New Roman" w:eastAsia="宋体" w:hAnsi="Times New Roman"/>
          <w:sz w:val="21"/>
          <w:szCs w:val="21"/>
        </w:rPr>
        <w:t xml:space="preserve">自动统计数据缺口（多少字段待补、按组分布情况）</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提供已有数据文件（规格书、质保文件、BOM表、认证记录、测试报告等）</w:t>
      </w:r>
    </w:p>
    <w:p>
      <w:pPr>
        <w:pStyle w:val="ListParagraph"/>
        <w:numPr>
          <w:ilvl w:val="0"/>
          <w:numId w:val="2"/>
        </w:numPr>
        <w:spacing w:after="60" w:line="276"/>
      </w:pPr>
      <w:r>
        <w:rPr>
          <w:rFonts w:ascii="Times New Roman" w:cs="Times New Roman" w:eastAsia="宋体" w:hAnsi="Times New Roman"/>
          <w:sz w:val="21"/>
          <w:szCs w:val="21"/>
        </w:rPr>
        <w:t xml:space="preserve">安排研发/质量部门对口人员解答技术数据疑问</w:t>
      </w:r>
    </w:p>
    <w:p>
      <w:pPr>
        <w:pStyle w:val="ListParagraph"/>
        <w:numPr>
          <w:ilvl w:val="0"/>
          <w:numId w:val="2"/>
        </w:numPr>
        <w:spacing w:after="60" w:line="276"/>
      </w:pPr>
      <w:r>
        <w:rPr>
          <w:rFonts w:ascii="Times New Roman" w:cs="Times New Roman" w:eastAsia="宋体" w:hAnsi="Times New Roman"/>
          <w:sz w:val="21"/>
          <w:szCs w:val="21"/>
        </w:rPr>
        <w:t xml:space="preserve">确认数据卡初稿内容（特别是“不适用”字段的判定）</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数据卡初稿（含已迁移数据、字段状态标注、证据文件编号）</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③ 缺口分析与采集计划</w:t>
      </w:r>
    </w:p>
    <w:p>
      <w:pPr>
        <w:spacing w:after="80"/>
      </w:pPr>
      <w:r>
        <w:rPr>
          <w:rFonts w:ascii="Times New Roman" w:cs="Times New Roman" w:eastAsia="宋体" w:hAnsi="Times New Roman"/>
          <w:b/>
          <w:bCs/>
          <w:color w:val="1A237E"/>
          <w:sz w:val="18"/>
          <w:szCs w:val="18"/>
        </w:rPr>
        <w:t xml:space="preserve">⏱ 第5-10天</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缺口统计：总体缺口统计（总字段数 vs 已填 vs 待补 vs 不适用）</w:t>
      </w:r>
    </w:p>
    <w:p>
      <w:pPr>
        <w:pStyle w:val="ListParagraph"/>
        <w:numPr>
          <w:ilvl w:val="0"/>
          <w:numId w:val="2"/>
        </w:numPr>
        <w:spacing w:after="60" w:line="276"/>
      </w:pPr>
      <w:r>
        <w:rPr>
          <w:rFonts w:ascii="Times New Roman" w:cs="Times New Roman" w:eastAsia="宋体" w:hAnsi="Times New Roman"/>
          <w:sz w:val="21"/>
          <w:szCs w:val="21"/>
        </w:rPr>
        <w:t xml:space="preserve">按来源分类：内部数据缺口（客户可自补）/ 供应商数据缺口（需供应商配合）/ 第三方数据缺口（需检测机构出具）</w:t>
      </w:r>
    </w:p>
    <w:p>
      <w:pPr>
        <w:pStyle w:val="ListParagraph"/>
        <w:numPr>
          <w:ilvl w:val="0"/>
          <w:numId w:val="2"/>
        </w:numPr>
        <w:spacing w:after="60" w:line="276"/>
      </w:pPr>
      <w:r>
        <w:rPr>
          <w:rFonts w:ascii="Times New Roman" w:cs="Times New Roman" w:eastAsia="宋体" w:hAnsi="Times New Roman"/>
          <w:sz w:val="21"/>
          <w:szCs w:val="21"/>
        </w:rPr>
        <w:t xml:space="preserve">按优先级分类：阻塞项（直接影响注册）/ 重要项（影响合规评级）/ 可选项</w:t>
      </w:r>
    </w:p>
    <w:p>
      <w:pPr>
        <w:pStyle w:val="ListParagraph"/>
        <w:numPr>
          <w:ilvl w:val="0"/>
          <w:numId w:val="2"/>
        </w:numPr>
        <w:spacing w:after="60" w:line="276"/>
      </w:pPr>
      <w:r>
        <w:rPr>
          <w:rFonts w:ascii="Times New Roman" w:cs="Times New Roman" w:eastAsia="宋体" w:hAnsi="Times New Roman"/>
          <w:sz w:val="21"/>
          <w:szCs w:val="21"/>
        </w:rPr>
        <w:t xml:space="preserve">制定采集计划：供应商清单、采集时间表、催收节奏、责任分工</w:t>
      </w:r>
    </w:p>
    <w:p>
      <w:pPr>
        <w:pStyle w:val="ListParagraph"/>
        <w:numPr>
          <w:ilvl w:val="0"/>
          <w:numId w:val="2"/>
        </w:numPr>
        <w:spacing w:after="60" w:line="276"/>
      </w:pPr>
      <w:r>
        <w:rPr>
          <w:rFonts w:ascii="Times New Roman" w:cs="Times New Roman" w:eastAsia="宋体" w:hAnsi="Times New Roman"/>
          <w:sz w:val="21"/>
          <w:szCs w:val="21"/>
        </w:rPr>
        <w:t xml:space="preserve">准备问卷：中英双语供应商数据问卷（Part A-G），附采集指引信</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确认采集计划（优先级排序、时间节点是否合理）</w:t>
      </w:r>
    </w:p>
    <w:p>
      <w:pPr>
        <w:pStyle w:val="ListParagraph"/>
        <w:numPr>
          <w:ilvl w:val="0"/>
          <w:numId w:val="2"/>
        </w:numPr>
        <w:spacing w:after="60" w:line="276"/>
      </w:pPr>
      <w:r>
        <w:rPr>
          <w:rFonts w:ascii="Times New Roman" w:cs="Times New Roman" w:eastAsia="宋体" w:hAnsi="Times New Roman"/>
          <w:sz w:val="21"/>
          <w:szCs w:val="21"/>
        </w:rPr>
        <w:t xml:space="preserve">提供供应商联系人清单（名称、联系人、邮箱、电话、供应材料）</w:t>
      </w:r>
    </w:p>
    <w:p>
      <w:pPr>
        <w:pStyle w:val="ListParagraph"/>
        <w:numPr>
          <w:ilvl w:val="0"/>
          <w:numId w:val="2"/>
        </w:numPr>
        <w:spacing w:after="60" w:line="276"/>
      </w:pPr>
      <w:r>
        <w:rPr>
          <w:rFonts w:ascii="Times New Roman" w:cs="Times New Roman" w:eastAsia="宋体" w:hAnsi="Times New Roman"/>
          <w:sz w:val="21"/>
          <w:szCs w:val="21"/>
        </w:rPr>
        <w:t xml:space="preserve">确认内部各部门的数据提供责任人</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《数据缺口分析报告》《采集计划》《供应商问卷》《供应商清单》</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283593"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2 · 供应商采集阶段（第2-6周）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④ 问卷发放与催收</w:t>
      </w:r>
    </w:p>
    <w:p>
      <w:pPr>
        <w:spacing w:after="80"/>
      </w:pPr>
      <w:r>
        <w:rPr>
          <w:rFonts w:ascii="Times New Roman" w:cs="Times New Roman" w:eastAsia="宋体" w:hAnsi="Times New Roman"/>
          <w:b/>
          <w:bCs/>
          <w:color w:val="1A237E"/>
          <w:sz w:val="18"/>
          <w:szCs w:val="18"/>
        </w:rPr>
        <w:t xml:space="preserve">⏱ 第2-4周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代发供应商问卷（中英双语），每份附采集指引信（用途说明+保密承诺+截止日期）</w:t>
      </w:r>
    </w:p>
    <w:p>
      <w:pPr>
        <w:pStyle w:val="ListParagraph"/>
        <w:numPr>
          <w:ilvl w:val="0"/>
          <w:numId w:val="2"/>
        </w:numPr>
        <w:spacing w:after="60" w:line="276"/>
      </w:pPr>
      <w:r>
        <w:rPr>
          <w:rFonts w:ascii="Times New Roman" w:cs="Times New Roman" w:eastAsia="宋体" w:hAnsi="Times New Roman"/>
          <w:sz w:val="21"/>
          <w:szCs w:val="21"/>
        </w:rPr>
        <w:t xml:space="preserve">首次发放前先电话沟通说明重要性，提高回复率</w:t>
      </w:r>
    </w:p>
    <w:p>
      <w:pPr>
        <w:pStyle w:val="ListParagraph"/>
        <w:numPr>
          <w:ilvl w:val="0"/>
          <w:numId w:val="2"/>
        </w:numPr>
        <w:spacing w:after="60" w:line="276"/>
      </w:pPr>
      <w:r>
        <w:rPr>
          <w:rFonts w:ascii="Times New Roman" w:cs="Times New Roman" w:eastAsia="宋体" w:hAnsi="Times New Roman"/>
          <w:sz w:val="21"/>
          <w:szCs w:val="21"/>
        </w:rPr>
        <w:t xml:space="preserve">建立催收台账，按7-14-21天标准节奏跟进</w:t>
      </w:r>
    </w:p>
    <w:p>
      <w:pPr>
        <w:pStyle w:val="ListParagraph"/>
        <w:numPr>
          <w:ilvl w:val="0"/>
          <w:numId w:val="2"/>
        </w:numPr>
        <w:spacing w:after="60" w:line="276"/>
      </w:pPr>
      <w:r>
        <w:rPr>
          <w:rFonts w:ascii="Times New Roman" w:cs="Times New Roman" w:eastAsia="宋体" w:hAnsi="Times New Roman"/>
          <w:sz w:val="21"/>
          <w:szCs w:val="21"/>
        </w:rPr>
        <w:t xml:space="preserve">协调供应商技术问题（数据口径说明、填写指导）</w:t>
      </w:r>
    </w:p>
    <w:p>
      <w:pPr>
        <w:pStyle w:val="ListParagraph"/>
        <w:numPr>
          <w:ilvl w:val="0"/>
          <w:numId w:val="2"/>
        </w:numPr>
        <w:spacing w:after="60" w:line="276"/>
      </w:pPr>
      <w:r>
        <w:rPr>
          <w:rFonts w:ascii="Times New Roman" w:cs="Times New Roman" w:eastAsia="宋体" w:hAnsi="Times New Roman"/>
          <w:sz w:val="21"/>
          <w:szCs w:val="21"/>
        </w:rPr>
        <w:t xml:space="preserve">逾期供应商升级至客户采购部门协助</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协助联系关键供应商（特别是不配合的供应商，由采购部门施压）</w:t>
      </w:r>
    </w:p>
    <w:p>
      <w:pPr>
        <w:pStyle w:val="ListParagraph"/>
        <w:numPr>
          <w:ilvl w:val="0"/>
          <w:numId w:val="2"/>
        </w:numPr>
        <w:spacing w:after="60" w:line="276"/>
      </w:pPr>
      <w:r>
        <w:rPr>
          <w:rFonts w:ascii="Times New Roman" w:cs="Times New Roman" w:eastAsia="宋体" w:hAnsi="Times New Roman"/>
          <w:sz w:val="21"/>
          <w:szCs w:val="21"/>
        </w:rPr>
        <w:t xml:space="preserve">处理供应商提出的技术问题（如产品规格确认）</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已发放问卷清单、催收台账（含每次催收记录）</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⑤ 数据收集与初步核验</w:t>
      </w:r>
    </w:p>
    <w:p>
      <w:pPr>
        <w:spacing w:after="80"/>
      </w:pPr>
      <w:r>
        <w:rPr>
          <w:rFonts w:ascii="Times New Roman" w:cs="Times New Roman" w:eastAsia="宋体" w:hAnsi="Times New Roman"/>
          <w:b/>
          <w:bCs/>
          <w:color w:val="1A237E"/>
          <w:sz w:val="18"/>
          <w:szCs w:val="18"/>
        </w:rPr>
        <w:t xml:space="preserve">⏱ 第3-5周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接收供应商回复的数据与支撑文件</w:t>
      </w:r>
    </w:p>
    <w:p>
      <w:pPr>
        <w:pStyle w:val="ListParagraph"/>
        <w:numPr>
          <w:ilvl w:val="0"/>
          <w:numId w:val="2"/>
        </w:numPr>
        <w:spacing w:after="60" w:line="276"/>
      </w:pPr>
      <w:r>
        <w:rPr>
          <w:rFonts w:ascii="Times New Roman" w:cs="Times New Roman" w:eastAsia="宋体" w:hAnsi="Times New Roman"/>
          <w:sz w:val="21"/>
          <w:szCs w:val="21"/>
        </w:rPr>
        <w:t xml:space="preserve">L1 逻辑校验：逐项核对必填项是否完整、数值范围是否合理、单位是否一致</w:t>
      </w:r>
    </w:p>
    <w:p>
      <w:pPr>
        <w:pStyle w:val="ListParagraph"/>
        <w:numPr>
          <w:ilvl w:val="0"/>
          <w:numId w:val="2"/>
        </w:numPr>
        <w:spacing w:after="60" w:line="276"/>
      </w:pPr>
      <w:r>
        <w:rPr>
          <w:rFonts w:ascii="Times New Roman" w:cs="Times New Roman" w:eastAsia="宋体" w:hAnsi="Times New Roman"/>
          <w:sz w:val="21"/>
          <w:szCs w:val="21"/>
        </w:rPr>
        <w:t xml:space="preserve">L2 交叉验证：多来源数据比对、再生含量加总合理性检查、行业基准对比</w:t>
      </w:r>
    </w:p>
    <w:p>
      <w:pPr>
        <w:pStyle w:val="ListParagraph"/>
        <w:numPr>
          <w:ilvl w:val="0"/>
          <w:numId w:val="2"/>
        </w:numPr>
        <w:spacing w:after="60" w:line="276"/>
      </w:pPr>
      <w:r>
        <w:rPr>
          <w:rFonts w:ascii="Times New Roman" w:cs="Times New Roman" w:eastAsia="宋体" w:hAnsi="Times New Roman"/>
          <w:sz w:val="21"/>
          <w:szCs w:val="21"/>
        </w:rPr>
        <w:t xml:space="preserve">标记问题数据（缺失/异常/矛盾），退回供应商补充或更正</w:t>
      </w:r>
    </w:p>
    <w:p>
      <w:pPr>
        <w:pStyle w:val="ListParagraph"/>
        <w:numPr>
          <w:ilvl w:val="0"/>
          <w:numId w:val="2"/>
        </w:numPr>
        <w:spacing w:after="60" w:line="276"/>
      </w:pPr>
      <w:r>
        <w:rPr>
          <w:rFonts w:ascii="Times New Roman" w:cs="Times New Roman" w:eastAsia="宋体" w:hAnsi="Times New Roman"/>
          <w:sz w:val="21"/>
          <w:szCs w:val="21"/>
        </w:rPr>
        <w:t xml:space="preserve">更新采集台账，记录核验状态</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安排技术部门解答数据疑问（如供应商提供的参数与客户认知不一致时）</w:t>
      </w:r>
    </w:p>
    <w:p>
      <w:pPr>
        <w:pStyle w:val="ListParagraph"/>
        <w:numPr>
          <w:ilvl w:val="0"/>
          <w:numId w:val="2"/>
        </w:numPr>
        <w:spacing w:after="60" w:line="276"/>
      </w:pPr>
      <w:r>
        <w:rPr>
          <w:rFonts w:ascii="Times New Roman" w:cs="Times New Roman" w:eastAsia="宋体" w:hAnsi="Times New Roman"/>
          <w:sz w:val="21"/>
          <w:szCs w:val="21"/>
        </w:rPr>
        <w:t xml:space="preserve">确认哪些数据可以接受、哪些需要供应商重新提供</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数据核验报告（第一轮）、问题数据退回清单</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⑥ 数据补全与深化</w:t>
      </w:r>
    </w:p>
    <w:p>
      <w:pPr>
        <w:spacing w:after="80"/>
      </w:pPr>
      <w:r>
        <w:rPr>
          <w:rFonts w:ascii="Times New Roman" w:cs="Times New Roman" w:eastAsia="宋体" w:hAnsi="Times New Roman"/>
          <w:b/>
          <w:bCs/>
          <w:color w:val="1A237E"/>
          <w:sz w:val="18"/>
          <w:szCs w:val="18"/>
        </w:rPr>
        <w:t xml:space="preserve">⏱ 第4-6周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针对仍未回收的数据制定补救方案（替代数据来源、简化采集方式）</w:t>
      </w:r>
    </w:p>
    <w:p>
      <w:pPr>
        <w:pStyle w:val="ListParagraph"/>
        <w:numPr>
          <w:ilvl w:val="0"/>
          <w:numId w:val="2"/>
        </w:numPr>
        <w:spacing w:after="60" w:line="276"/>
      </w:pPr>
      <w:r>
        <w:rPr>
          <w:rFonts w:ascii="Times New Roman" w:cs="Times New Roman" w:eastAsia="宋体" w:hAnsi="Times New Roman"/>
          <w:sz w:val="21"/>
          <w:szCs w:val="21"/>
        </w:rPr>
        <w:t xml:space="preserve">协调第三方检测（如供应商无法提供再生含量数据，协助委托检测机构）</w:t>
      </w:r>
    </w:p>
    <w:p>
      <w:pPr>
        <w:pStyle w:val="ListParagraph"/>
        <w:numPr>
          <w:ilvl w:val="0"/>
          <w:numId w:val="2"/>
        </w:numPr>
        <w:spacing w:after="60" w:line="276"/>
      </w:pPr>
      <w:r>
        <w:rPr>
          <w:rFonts w:ascii="Times New Roman" w:cs="Times New Roman" w:eastAsia="宋体" w:hAnsi="Times New Roman"/>
          <w:sz w:val="21"/>
          <w:szCs w:val="21"/>
        </w:rPr>
        <w:t xml:space="preserve">补充动态数据接口方案（BMS数据字段与更新频率确认）</w:t>
      </w:r>
    </w:p>
    <w:p>
      <w:pPr>
        <w:pStyle w:val="ListParagraph"/>
        <w:numPr>
          <w:ilvl w:val="0"/>
          <w:numId w:val="2"/>
        </w:numPr>
        <w:spacing w:after="60" w:line="276"/>
      </w:pPr>
      <w:r>
        <w:rPr>
          <w:rFonts w:ascii="Times New Roman" w:cs="Times New Roman" w:eastAsia="宋体" w:hAnsi="Times New Roman"/>
          <w:sz w:val="21"/>
          <w:szCs w:val="21"/>
        </w:rPr>
        <w:t xml:space="preserve">评估C级供应商（拒不配合），建议更换或升级沟通层级</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决策是否进行第三方检测（涉及费用）</w:t>
      </w:r>
    </w:p>
    <w:p>
      <w:pPr>
        <w:pStyle w:val="ListParagraph"/>
        <w:numPr>
          <w:ilvl w:val="0"/>
          <w:numId w:val="2"/>
        </w:numPr>
        <w:spacing w:after="60" w:line="276"/>
      </w:pPr>
      <w:r>
        <w:rPr>
          <w:rFonts w:ascii="Times New Roman" w:cs="Times New Roman" w:eastAsia="宋体" w:hAnsi="Times New Roman"/>
          <w:sz w:val="21"/>
          <w:szCs w:val="21"/>
        </w:rPr>
        <w:t xml:space="preserve">提供检测样品（如需）</w:t>
      </w:r>
    </w:p>
    <w:p>
      <w:pPr>
        <w:pStyle w:val="ListParagraph"/>
        <w:numPr>
          <w:ilvl w:val="0"/>
          <w:numId w:val="2"/>
        </w:numPr>
        <w:spacing w:after="60" w:line="276"/>
      </w:pPr>
      <w:r>
        <w:rPr>
          <w:rFonts w:ascii="Times New Roman" w:cs="Times New Roman" w:eastAsia="宋体" w:hAnsi="Times New Roman"/>
          <w:sz w:val="21"/>
          <w:szCs w:val="21"/>
        </w:rPr>
        <w:t xml:space="preserve">对C级供应商做出处理决策（更换/升级沟通/接受部分数据）</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补救方案、第三方检测报告（如有）、动态数据接口方案</w:t>
      </w:r>
    </w:p>
    <w:p>
      <w:pPr>
        <w:spacing w:after="0" w:before="20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none" w:sz="0"/>
              <w:left w:val="none" w:sz="0"/>
              <w:bottom w:val="none" w:sz="0"/>
              <w:right w:val="none" w:sz="0"/>
            </w:tcBorders>
            <w:shd w:fill="2E7D32" w:color="auto" w:val="clear"/>
            <w:tcMar>
              <w:top w:type="dxa" w:w="80"/>
              <w:left w:type="dxa" w:w="200"/>
              <w:bottom w:type="dxa" w:w="80"/>
              <w:right w:type="dxa" w:w="200"/>
            </w:tcMar>
          </w:tcPr>
          <w:p>
            <w:pPr>
              <w:spacing w:after="0"/>
            </w:pPr>
            <w:r>
              <w:rPr>
                <w:rFonts w:ascii="Times New Roman" w:cs="Times New Roman" w:eastAsia="宋体" w:hAnsi="Times New Roman"/>
                <w:b/>
                <w:bCs/>
                <w:color w:val="FFFFFF"/>
                <w:sz w:val="22"/>
                <w:szCs w:val="22"/>
              </w:rPr>
              <w:t xml:space="preserve">Phase 3 · 数据手册整合阶段（第6-8周）</w:t>
            </w:r>
          </w:p>
        </w:tc>
      </w:tr>
    </w:tbl>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⑦ 法规合规性核验</w:t>
      </w:r>
    </w:p>
    <w:p>
      <w:pPr>
        <w:spacing w:after="80"/>
      </w:pPr>
      <w:r>
        <w:rPr>
          <w:rFonts w:ascii="Times New Roman" w:cs="Times New Roman" w:eastAsia="宋体" w:hAnsi="Times New Roman"/>
          <w:b/>
          <w:bCs/>
          <w:color w:val="1A237E"/>
          <w:sz w:val="18"/>
          <w:szCs w:val="18"/>
        </w:rPr>
        <w:t xml:space="preserve">⏱ 第6-7周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L3 法规合规检查：71个数据点逐项核对，确认每个数据点的合规性</w:t>
      </w:r>
    </w:p>
    <w:p>
      <w:pPr>
        <w:pStyle w:val="ListParagraph"/>
        <w:numPr>
          <w:ilvl w:val="0"/>
          <w:numId w:val="2"/>
        </w:numPr>
        <w:spacing w:after="60" w:line="276"/>
      </w:pPr>
      <w:r>
        <w:rPr>
          <w:rFonts w:ascii="Times New Roman" w:cs="Times New Roman" w:eastAsia="宋体" w:hAnsi="Times New Roman"/>
          <w:sz w:val="21"/>
          <w:szCs w:val="21"/>
        </w:rPr>
        <w:t xml:space="preserve">标注合规风险项（如测试方法不符、数据粒度不够、证书覆盖范围不足）</w:t>
      </w:r>
    </w:p>
    <w:p>
      <w:pPr>
        <w:pStyle w:val="ListParagraph"/>
        <w:numPr>
          <w:ilvl w:val="0"/>
          <w:numId w:val="2"/>
        </w:numPr>
        <w:spacing w:after="60" w:line="276"/>
      </w:pPr>
      <w:r>
        <w:rPr>
          <w:rFonts w:ascii="Times New Roman" w:cs="Times New Roman" w:eastAsia="宋体" w:hAnsi="Times New Roman"/>
          <w:sz w:val="21"/>
          <w:szCs w:val="21"/>
        </w:rPr>
        <w:t xml:space="preserve">区分强制项（必须填写）/ 条件适用项（判断适用性是否正确）/ 暂缓项</w:t>
      </w:r>
    </w:p>
    <w:p>
      <w:pPr>
        <w:pStyle w:val="ListParagraph"/>
        <w:numPr>
          <w:ilvl w:val="0"/>
          <w:numId w:val="2"/>
        </w:numPr>
        <w:spacing w:after="60" w:line="276"/>
      </w:pPr>
      <w:r>
        <w:rPr>
          <w:rFonts w:ascii="Times New Roman" w:cs="Times New Roman" w:eastAsia="宋体" w:hAnsi="Times New Roman"/>
          <w:sz w:val="21"/>
          <w:szCs w:val="21"/>
        </w:rPr>
        <w:t xml:space="preserve">生成合规性报告，附整改建议与优先级</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参加合规评审会（30-60分钟，逐项确认风险项处置方案）</w:t>
      </w:r>
    </w:p>
    <w:p>
      <w:pPr>
        <w:pStyle w:val="ListParagraph"/>
        <w:numPr>
          <w:ilvl w:val="0"/>
          <w:numId w:val="2"/>
        </w:numPr>
        <w:spacing w:after="60" w:line="276"/>
      </w:pPr>
      <w:r>
        <w:rPr>
          <w:rFonts w:ascii="Times New Roman" w:cs="Times New Roman" w:eastAsia="宋体" w:hAnsi="Times New Roman"/>
          <w:sz w:val="21"/>
          <w:szCs w:val="21"/>
        </w:rPr>
        <w:t xml:space="preserve">对风险项做出决策（立即整改/接受风险/延后处理）</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《法规合规性报告》（71项逐项检查结果 + 风险项清单 + 处置建议）</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⑧ 数据手册编制</w:t>
      </w:r>
    </w:p>
    <w:p>
      <w:pPr>
        <w:spacing w:after="80"/>
      </w:pPr>
      <w:r>
        <w:rPr>
          <w:rFonts w:ascii="Times New Roman" w:cs="Times New Roman" w:eastAsia="宋体" w:hAnsi="Times New Roman"/>
          <w:b/>
          <w:bCs/>
          <w:color w:val="1A237E"/>
          <w:sz w:val="18"/>
          <w:szCs w:val="18"/>
        </w:rPr>
        <w:t xml:space="preserve">⏱ 第7-8周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整合所有通过核验的数据，编制完整数据手册</w:t>
      </w:r>
    </w:p>
    <w:p>
      <w:pPr>
        <w:pStyle w:val="ListParagraph"/>
        <w:numPr>
          <w:ilvl w:val="0"/>
          <w:numId w:val="2"/>
        </w:numPr>
        <w:spacing w:after="60" w:line="276"/>
      </w:pPr>
      <w:r>
        <w:rPr>
          <w:rFonts w:ascii="Times New Roman" w:cs="Times New Roman" w:eastAsia="宋体" w:hAnsi="Times New Roman"/>
          <w:sz w:val="21"/>
          <w:szCs w:val="21"/>
        </w:rPr>
        <w:t xml:space="preserve">数据手册包含：数据卡 + 采集台账 + 供应商清单 + 缺口分析报告 + 合规性报告</w:t>
      </w:r>
    </w:p>
    <w:p>
      <w:pPr>
        <w:pStyle w:val="ListParagraph"/>
        <w:numPr>
          <w:ilvl w:val="0"/>
          <w:numId w:val="2"/>
        </w:numPr>
        <w:spacing w:after="60" w:line="276"/>
      </w:pPr>
      <w:r>
        <w:rPr>
          <w:rFonts w:ascii="Times New Roman" w:cs="Times New Roman" w:eastAsia="宋体" w:hAnsi="Times New Roman"/>
          <w:sz w:val="21"/>
          <w:szCs w:val="21"/>
        </w:rPr>
        <w:t xml:space="preserve">双人审核：编制人 + 审核人分别签字，确保数据质量</w:t>
      </w:r>
    </w:p>
    <w:p>
      <w:pPr>
        <w:pStyle w:val="ListParagraph"/>
        <w:numPr>
          <w:ilvl w:val="0"/>
          <w:numId w:val="2"/>
        </w:numPr>
        <w:spacing w:after="60" w:line="276"/>
      </w:pPr>
      <w:r>
        <w:rPr>
          <w:rFonts w:ascii="Times New Roman" w:cs="Times New Roman" w:eastAsia="宋体" w:hAnsi="Times New Roman"/>
          <w:sz w:val="21"/>
          <w:szCs w:val="21"/>
        </w:rPr>
        <w:t xml:space="preserve">内部审核通过后交付客户确认</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审核数据手册（重点关注数据准确性和完整性）</w:t>
      </w:r>
    </w:p>
    <w:p>
      <w:pPr>
        <w:pStyle w:val="ListParagraph"/>
        <w:numPr>
          <w:ilvl w:val="0"/>
          <w:numId w:val="2"/>
        </w:numPr>
        <w:spacing w:after="60" w:line="276"/>
      </w:pPr>
      <w:r>
        <w:rPr>
          <w:rFonts w:ascii="Times New Roman" w:cs="Times New Roman" w:eastAsia="宋体" w:hAnsi="Times New Roman"/>
          <w:sz w:val="21"/>
          <w:szCs w:val="21"/>
        </w:rPr>
        <w:t xml:space="preserve">签字确认（作为数据手册的最终确认方）</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完整数据手册（Excel+PDF格式，含全部5大交付物）</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4"/>
          <w:szCs w:val="24"/>
        </w:rPr>
        <w:t xml:space="preserve">⑨ 交付与衔接</w:t>
      </w:r>
    </w:p>
    <w:p>
      <w:pPr>
        <w:spacing w:after="80"/>
      </w:pPr>
      <w:r>
        <w:rPr>
          <w:rFonts w:ascii="Times New Roman" w:cs="Times New Roman" w:eastAsia="宋体" w:hAnsi="Times New Roman"/>
          <w:b/>
          <w:bCs/>
          <w:color w:val="1A237E"/>
          <w:sz w:val="18"/>
          <w:szCs w:val="18"/>
        </w:rPr>
        <w:t xml:space="preserve">⏱ 第8周</w:t>
      </w:r>
    </w:p>
    <w:p>
      <w:pPr>
        <w:spacing w:after="40"/>
      </w:pPr>
      <w:r>
        <w:rPr>
          <w:rFonts w:ascii="Times New Roman" w:cs="Times New Roman" w:eastAsia="宋体" w:hAnsi="Times New Roman"/>
          <w:b/>
          <w:bCs/>
          <w:color w:val="1A237E"/>
          <w:sz w:val="20"/>
          <w:szCs w:val="20"/>
        </w:rPr>
        <w:t xml:space="preserve">◎ 我们做什么</w:t>
      </w:r>
    </w:p>
    <w:p>
      <w:pPr>
        <w:pStyle w:val="ListParagraph"/>
        <w:numPr>
          <w:ilvl w:val="0"/>
          <w:numId w:val="2"/>
        </w:numPr>
        <w:spacing w:after="60" w:line="276"/>
      </w:pPr>
      <w:r>
        <w:rPr>
          <w:rFonts w:ascii="Times New Roman" w:cs="Times New Roman" w:eastAsia="宋体" w:hAnsi="Times New Roman"/>
          <w:sz w:val="21"/>
          <w:szCs w:val="21"/>
        </w:rPr>
        <w:t xml:space="preserve">召开交付会议，逐项说明数据手册内容与使用方法</w:t>
      </w:r>
    </w:p>
    <w:p>
      <w:pPr>
        <w:pStyle w:val="ListParagraph"/>
        <w:numPr>
          <w:ilvl w:val="0"/>
          <w:numId w:val="2"/>
        </w:numPr>
        <w:spacing w:after="60" w:line="276"/>
      </w:pPr>
      <w:r>
        <w:rPr>
          <w:rFonts w:ascii="Times New Roman" w:cs="Times New Roman" w:eastAsia="宋体" w:hAnsi="Times New Roman"/>
          <w:sz w:val="21"/>
          <w:szCs w:val="21"/>
        </w:rPr>
        <w:t xml:space="preserve">交付完整数据手册套件</w:t>
      </w:r>
    </w:p>
    <w:p>
      <w:pPr>
        <w:pStyle w:val="ListParagraph"/>
        <w:numPr>
          <w:ilvl w:val="0"/>
          <w:numId w:val="2"/>
        </w:numPr>
        <w:spacing w:after="60" w:line="276"/>
      </w:pPr>
      <w:r>
        <w:rPr>
          <w:rFonts w:ascii="Times New Roman" w:cs="Times New Roman" w:eastAsia="宋体" w:hAnsi="Times New Roman"/>
          <w:sz w:val="21"/>
          <w:szCs w:val="21"/>
        </w:rPr>
        <w:t xml:space="preserve">制定数据维护计划（动态数据更新机制、年度审核计划、数据变更管理流程）</w:t>
      </w:r>
    </w:p>
    <w:p>
      <w:pPr>
        <w:pStyle w:val="ListParagraph"/>
        <w:numPr>
          <w:ilvl w:val="0"/>
          <w:numId w:val="2"/>
        </w:numPr>
        <w:spacing w:after="60" w:line="276"/>
      </w:pPr>
      <w:r>
        <w:rPr>
          <w:rFonts w:ascii="Times New Roman" w:cs="Times New Roman" w:eastAsia="宋体" w:hAnsi="Times New Roman"/>
          <w:sz w:val="21"/>
          <w:szCs w:val="21"/>
        </w:rPr>
        <w:t xml:space="preserve">衔接③注册上线服务：数据手册可直接用于护照数据提交</w:t>
      </w:r>
    </w:p>
    <w:p>
      <w:pPr>
        <w:spacing w:after="40" w:before="80"/>
      </w:pPr>
      <w:r>
        <w:rPr>
          <w:rFonts w:ascii="Times New Roman" w:cs="Times New Roman" w:eastAsia="宋体" w:hAnsi="Times New Roman"/>
          <w:b/>
          <w:bCs/>
          <w:color w:val="E65100"/>
          <w:sz w:val="20"/>
          <w:szCs w:val="20"/>
        </w:rPr>
        <w:t xml:space="preserve">◎ 您需要配合</w:t>
      </w:r>
    </w:p>
    <w:p>
      <w:pPr>
        <w:pStyle w:val="ListParagraph"/>
        <w:numPr>
          <w:ilvl w:val="0"/>
          <w:numId w:val="2"/>
        </w:numPr>
        <w:spacing w:after="60" w:line="276"/>
      </w:pPr>
      <w:r>
        <w:rPr>
          <w:rFonts w:ascii="Times New Roman" w:cs="Times New Roman" w:eastAsia="宋体" w:hAnsi="Times New Roman"/>
          <w:sz w:val="21"/>
          <w:szCs w:val="21"/>
        </w:rPr>
        <w:t xml:space="preserve">参加交付会议（确认数据手册内容、了解后续维护要求）</w:t>
      </w:r>
    </w:p>
    <w:p>
      <w:pPr>
        <w:pStyle w:val="ListParagraph"/>
        <w:numPr>
          <w:ilvl w:val="0"/>
          <w:numId w:val="2"/>
        </w:numPr>
        <w:spacing w:after="60" w:line="276"/>
      </w:pPr>
      <w:r>
        <w:rPr>
          <w:rFonts w:ascii="Times New Roman" w:cs="Times New Roman" w:eastAsia="宋体" w:hAnsi="Times New Roman"/>
          <w:sz w:val="21"/>
          <w:szCs w:val="21"/>
        </w:rPr>
        <w:t xml:space="preserve">确认下一步服务意向（③注册上线 / ④年度合规托管）</w:t>
      </w:r>
    </w:p>
    <w:p>
      <w:pPr>
        <w:spacing w:after="40" w:before="80"/>
      </w:pPr>
      <w:r>
        <w:rPr>
          <w:rFonts w:ascii="Times New Roman" w:cs="Times New Roman" w:eastAsia="宋体" w:hAnsi="Times New Roman"/>
          <w:b/>
          <w:bCs/>
          <w:color w:val="2E7D32"/>
          <w:sz w:val="20"/>
          <w:szCs w:val="20"/>
        </w:rPr>
        <w:t xml:space="preserve">◎ 输出物</w:t>
      </w:r>
    </w:p>
    <w:p>
      <w:pPr>
        <w:spacing w:after="80"/>
      </w:pPr>
      <w:r>
        <w:rPr>
          <w:rFonts w:ascii="Times New Roman" w:cs="Times New Roman" w:eastAsia="宋体" w:hAnsi="Times New Roman"/>
          <w:color w:val="546E7A"/>
          <w:sz w:val="20"/>
          <w:szCs w:val="20"/>
        </w:rPr>
        <w:t xml:space="preserve">完整数据手册套件、《数据维护计划》、《下一步服务建议书》</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0D47A1" w:sz="1"/>
              <w:left w:val="single" w:color="0D47A1" w:sz="6"/>
              <w:bottom w:val="single" w:color="0D47A1" w:sz="1"/>
              <w:right w:val="single" w:color="0D47A1" w:sz="1"/>
            </w:tcBorders>
            <w:shd w:fill="E3F2FD" w:color="auto" w:val="clear"/>
            <w:tcMar>
              <w:top w:type="dxa" w:w="120"/>
              <w:left w:type="dxa" w:w="160"/>
              <w:bottom w:type="dxa" w:w="120"/>
              <w:right w:type="dxa" w:w="160"/>
            </w:tcMar>
          </w:tcPr>
          <w:p>
            <w:pPr>
              <w:spacing w:after="40"/>
            </w:pPr>
            <w:r>
              <w:rPr>
                <w:rFonts w:ascii="Times New Roman" w:cs="Times New Roman" w:eastAsia="宋体" w:hAnsi="Times New Roman"/>
                <w:b/>
                <w:bCs/>
                <w:color w:val="0D47A1"/>
                <w:sz w:val="20"/>
                <w:szCs w:val="20"/>
              </w:rPr>
              <w:t xml:space="preserve">📌 后续链路</w:t>
            </w:r>
          </w:p>
          <w:p>
            <w:pPr>
              <w:spacing w:after="0" w:line="276"/>
            </w:pPr>
            <w:r>
              <w:rPr>
                <w:rFonts w:ascii="Times New Roman" w:cs="Times New Roman" w:eastAsia="宋体" w:hAnsi="Times New Roman"/>
                <w:color w:val="424242"/>
                <w:sz w:val="20"/>
                <w:szCs w:val="20"/>
              </w:rPr>
              <w:t xml:space="preserve">① 差距评估 → ② 数据建设（本服务）→ ③ 注册上线（护照数据提交）→ ④ 年度合规托管。可整体委托，也可按阶段分别推进。</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04</w:t>
      </w:r>
    </w:p>
    <w:p>
      <w:pPr>
        <w:pStyle w:val="Heading1"/>
        <w:keepNext/>
        <w:spacing w:after="200" w:before="360"/>
      </w:pPr>
      <w:r>
        <w:rPr>
          <w:rFonts w:ascii="Times New Roman" w:cs="Times New Roman" w:eastAsia="宋体" w:hAnsi="Times New Roman"/>
          <w:b/>
          <w:bCs/>
          <w:color w:val="1A237E"/>
          <w:sz w:val="32"/>
          <w:szCs w:val="32"/>
        </w:rPr>
        <w:t xml:space="preserve">您会收到什么</w:t>
      </w:r>
    </w:p>
    <w:p>
      <w:pPr>
        <w:spacing w:after="120" w:line="300"/>
      </w:pPr>
      <w:r>
        <w:rPr>
          <w:rFonts w:ascii="Times New Roman" w:cs="Times New Roman" w:eastAsia="宋体" w:hAnsi="Times New Roman"/>
          <w:sz w:val="21"/>
          <w:szCs w:val="21"/>
        </w:rPr>
        <w:t xml:space="preserve">五大交付物，覆盖从数据底册到供应商管理到合规性验证的全链路，确保数据可直接用于注册中心提交。</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01</w:t>
      </w:r>
    </w:p>
    <w:p>
      <w:pPr>
        <w:keepNext/>
        <w:spacing w:after="40"/>
      </w:pPr>
      <w:r>
        <w:rPr>
          <w:rFonts w:ascii="Times New Roman" w:cs="Times New Roman" w:eastAsia="宋体" w:hAnsi="Times New Roman"/>
          <w:b/>
          <w:bCs/>
          <w:color w:val="1A237E"/>
          <w:sz w:val="22"/>
          <w:szCs w:val="22"/>
        </w:rPr>
        <w:t xml:space="preserve">数据手册（核心交付物）</w:t>
      </w:r>
    </w:p>
    <w:p>
      <w:pPr>
        <w:spacing w:after="60"/>
      </w:pPr>
      <w:r>
        <w:rPr>
          <w:rFonts w:ascii="Times New Roman" w:cs="Times New Roman" w:eastAsia="宋体" w:hAnsi="Times New Roman"/>
          <w:color w:val="78909C"/>
          <w:sz w:val="18"/>
          <w:szCs w:val="18"/>
        </w:rPr>
        <w:t xml:space="preserve">格式：Excel + PDF</w:t>
      </w:r>
    </w:p>
    <w:p>
      <w:pPr>
        <w:pStyle w:val="ListParagraph"/>
        <w:numPr>
          <w:ilvl w:val="0"/>
          <w:numId w:val="2"/>
        </w:numPr>
        <w:spacing w:after="60" w:line="276"/>
      </w:pPr>
      <w:r>
        <w:rPr>
          <w:rFonts w:ascii="Times New Roman" w:cs="Times New Roman" w:eastAsia="宋体" w:hAnsi="Times New Roman"/>
          <w:sz w:val="21"/>
          <w:szCs w:val="21"/>
        </w:rPr>
        <w:t xml:space="preserve">数据卡：每型号一张，35字段完整填写，含数据版本号、数据来源、更新时间</w:t>
      </w:r>
    </w:p>
    <w:p>
      <w:pPr>
        <w:pStyle w:val="ListParagraph"/>
        <w:numPr>
          <w:ilvl w:val="0"/>
          <w:numId w:val="2"/>
        </w:numPr>
        <w:spacing w:after="60" w:line="276"/>
      </w:pPr>
      <w:r>
        <w:rPr>
          <w:rFonts w:ascii="Times New Roman" w:cs="Times New Roman" w:eastAsia="宋体" w:hAnsi="Times New Roman"/>
          <w:sz w:val="21"/>
          <w:szCs w:val="21"/>
        </w:rPr>
        <w:t xml:space="preserve">采集台账：所有数据来源、收集时间、责任人、核验状态（L1/L2/L3通过标记）</w:t>
      </w:r>
    </w:p>
    <w:p>
      <w:pPr>
        <w:pStyle w:val="ListParagraph"/>
        <w:numPr>
          <w:ilvl w:val="0"/>
          <w:numId w:val="2"/>
        </w:numPr>
        <w:spacing w:after="60" w:line="276"/>
      </w:pPr>
      <w:r>
        <w:rPr>
          <w:rFonts w:ascii="Times New Roman" w:cs="Times New Roman" w:eastAsia="宋体" w:hAnsi="Times New Roman"/>
          <w:sz w:val="21"/>
          <w:szCs w:val="21"/>
        </w:rPr>
        <w:t xml:space="preserve">供应商清单：供应商名称、联系方式、贡献数据项、配合度评分（A/B/C）</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02</w:t>
      </w:r>
    </w:p>
    <w:p>
      <w:pPr>
        <w:keepNext/>
        <w:spacing w:after="40"/>
      </w:pPr>
      <w:r>
        <w:rPr>
          <w:rFonts w:ascii="Times New Roman" w:cs="Times New Roman" w:eastAsia="宋体" w:hAnsi="Times New Roman"/>
          <w:b/>
          <w:bCs/>
          <w:color w:val="1A237E"/>
          <w:sz w:val="22"/>
          <w:szCs w:val="22"/>
        </w:rPr>
        <w:t xml:space="preserve">数据缺口分析报告</w:t>
      </w:r>
    </w:p>
    <w:p>
      <w:pPr>
        <w:spacing w:after="60"/>
      </w:pPr>
      <w:r>
        <w:rPr>
          <w:rFonts w:ascii="Times New Roman" w:cs="Times New Roman" w:eastAsia="宋体" w:hAnsi="Times New Roman"/>
          <w:color w:val="78909C"/>
          <w:sz w:val="18"/>
          <w:szCs w:val="18"/>
        </w:rPr>
        <w:t xml:space="preserve">格式：PDF + Excel</w:t>
      </w:r>
    </w:p>
    <w:p>
      <w:pPr>
        <w:pStyle w:val="ListParagraph"/>
        <w:numPr>
          <w:ilvl w:val="0"/>
          <w:numId w:val="2"/>
        </w:numPr>
        <w:spacing w:after="60" w:line="276"/>
      </w:pPr>
      <w:r>
        <w:rPr>
          <w:rFonts w:ascii="Times New Roman" w:cs="Times New Roman" w:eastAsia="宋体" w:hAnsi="Times New Roman"/>
          <w:sz w:val="21"/>
          <w:szCs w:val="21"/>
        </w:rPr>
        <w:t xml:space="preserve">初始缺口统计：差距评估后 → 数据规划后 → 采集后的三阶段缺口对比</w:t>
      </w:r>
    </w:p>
    <w:p>
      <w:pPr>
        <w:pStyle w:val="ListParagraph"/>
        <w:numPr>
          <w:ilvl w:val="0"/>
          <w:numId w:val="2"/>
        </w:numPr>
        <w:spacing w:after="60" w:line="276"/>
      </w:pPr>
      <w:r>
        <w:rPr>
          <w:rFonts w:ascii="Times New Roman" w:cs="Times New Roman" w:eastAsia="宋体" w:hAnsi="Times New Roman"/>
          <w:sz w:val="21"/>
          <w:szCs w:val="21"/>
        </w:rPr>
        <w:t xml:space="preserve">按来源分类：内部缺口 / 供应商缺口 / 第三方缺口，各占比例</w:t>
      </w:r>
    </w:p>
    <w:p>
      <w:pPr>
        <w:pStyle w:val="ListParagraph"/>
        <w:numPr>
          <w:ilvl w:val="0"/>
          <w:numId w:val="2"/>
        </w:numPr>
        <w:spacing w:after="60" w:line="276"/>
      </w:pPr>
      <w:r>
        <w:rPr>
          <w:rFonts w:ascii="Times New Roman" w:cs="Times New Roman" w:eastAsia="宋体" w:hAnsi="Times New Roman"/>
          <w:sz w:val="21"/>
          <w:szCs w:val="21"/>
        </w:rPr>
        <w:t xml:space="preserve">按优先级分类：阻塞项 / 重要项 / 可选项，逐项标注</w:t>
      </w:r>
    </w:p>
    <w:p>
      <w:pPr>
        <w:pStyle w:val="ListParagraph"/>
        <w:numPr>
          <w:ilvl w:val="0"/>
          <w:numId w:val="2"/>
        </w:numPr>
        <w:spacing w:after="60" w:line="276"/>
      </w:pPr>
      <w:r>
        <w:rPr>
          <w:rFonts w:ascii="Times New Roman" w:cs="Times New Roman" w:eastAsia="宋体" w:hAnsi="Times New Roman"/>
          <w:sz w:val="21"/>
          <w:szCs w:val="21"/>
        </w:rPr>
        <w:t xml:space="preserve">补救措施记录：对每个未闭环缺口的处置方案与状态</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03</w:t>
      </w:r>
    </w:p>
    <w:p>
      <w:pPr>
        <w:keepNext/>
        <w:spacing w:after="40"/>
      </w:pPr>
      <w:r>
        <w:rPr>
          <w:rFonts w:ascii="Times New Roman" w:cs="Times New Roman" w:eastAsia="宋体" w:hAnsi="Times New Roman"/>
          <w:b/>
          <w:bCs/>
          <w:color w:val="1A237E"/>
          <w:sz w:val="22"/>
          <w:szCs w:val="22"/>
        </w:rPr>
        <w:t xml:space="preserve">供应商数据回收包</w:t>
      </w:r>
    </w:p>
    <w:p>
      <w:pPr>
        <w:spacing w:after="60"/>
      </w:pPr>
      <w:r>
        <w:rPr>
          <w:rFonts w:ascii="Times New Roman" w:cs="Times New Roman" w:eastAsia="宋体" w:hAnsi="Times New Roman"/>
          <w:color w:val="78909C"/>
          <w:sz w:val="18"/>
          <w:szCs w:val="18"/>
        </w:rPr>
        <w:t xml:space="preserve">格式：完整档案</w:t>
      </w:r>
    </w:p>
    <w:p>
      <w:pPr>
        <w:pStyle w:val="ListParagraph"/>
        <w:numPr>
          <w:ilvl w:val="0"/>
          <w:numId w:val="2"/>
        </w:numPr>
        <w:spacing w:after="60" w:line="276"/>
      </w:pPr>
      <w:r>
        <w:rPr>
          <w:rFonts w:ascii="Times New Roman" w:cs="Times New Roman" w:eastAsia="宋体" w:hAnsi="Times New Roman"/>
          <w:sz w:val="21"/>
          <w:szCs w:val="21"/>
        </w:rPr>
        <w:t xml:space="preserve">已回收问卷：中英双语原件，按供应商分文件夹归档</w:t>
      </w:r>
    </w:p>
    <w:p>
      <w:pPr>
        <w:pStyle w:val="ListParagraph"/>
        <w:numPr>
          <w:ilvl w:val="0"/>
          <w:numId w:val="2"/>
        </w:numPr>
        <w:spacing w:after="60" w:line="276"/>
      </w:pPr>
      <w:r>
        <w:rPr>
          <w:rFonts w:ascii="Times New Roman" w:cs="Times New Roman" w:eastAsia="宋体" w:hAnsi="Times New Roman"/>
          <w:sz w:val="21"/>
          <w:szCs w:val="21"/>
        </w:rPr>
        <w:t xml:space="preserve">供应商数据核验报告：每个供应商的数据经L1/L2/L3三级核验的详细记录</w:t>
      </w:r>
    </w:p>
    <w:p>
      <w:pPr>
        <w:pStyle w:val="ListParagraph"/>
        <w:numPr>
          <w:ilvl w:val="0"/>
          <w:numId w:val="2"/>
        </w:numPr>
        <w:spacing w:after="60" w:line="276"/>
      </w:pPr>
      <w:r>
        <w:rPr>
          <w:rFonts w:ascii="Times New Roman" w:cs="Times New Roman" w:eastAsia="宋体" w:hAnsi="Times New Roman"/>
          <w:sz w:val="21"/>
          <w:szCs w:val="21"/>
        </w:rPr>
        <w:t xml:space="preserve">供应商配合度评估表：A（主动完整）/B（需催收）/C（消极对抗）评级与判定依据</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04</w:t>
      </w:r>
    </w:p>
    <w:p>
      <w:pPr>
        <w:keepNext/>
        <w:spacing w:after="40"/>
      </w:pPr>
      <w:r>
        <w:rPr>
          <w:rFonts w:ascii="Times New Roman" w:cs="Times New Roman" w:eastAsia="宋体" w:hAnsi="Times New Roman"/>
          <w:b/>
          <w:bCs/>
          <w:color w:val="1A237E"/>
          <w:sz w:val="22"/>
          <w:szCs w:val="22"/>
        </w:rPr>
        <w:t xml:space="preserve">数据合规性报告</w:t>
      </w:r>
    </w:p>
    <w:p>
      <w:pPr>
        <w:spacing w:after="60"/>
      </w:pPr>
      <w:r>
        <w:rPr>
          <w:rFonts w:ascii="Times New Roman" w:cs="Times New Roman" w:eastAsia="宋体" w:hAnsi="Times New Roman"/>
          <w:color w:val="78909C"/>
          <w:sz w:val="18"/>
          <w:szCs w:val="18"/>
        </w:rPr>
        <w:t xml:space="preserve">格式：PDF</w:t>
      </w:r>
    </w:p>
    <w:p>
      <w:pPr>
        <w:pStyle w:val="ListParagraph"/>
        <w:numPr>
          <w:ilvl w:val="0"/>
          <w:numId w:val="2"/>
        </w:numPr>
        <w:spacing w:after="60" w:line="276"/>
      </w:pPr>
      <w:r>
        <w:rPr>
          <w:rFonts w:ascii="Times New Roman" w:cs="Times New Roman" w:eastAsia="宋体" w:hAnsi="Times New Roman"/>
          <w:sz w:val="21"/>
          <w:szCs w:val="21"/>
        </w:rPr>
        <w:t xml:space="preserve">71项合规性检查表：逐项标注合规状态（✅合规/⚠️风险/❌不合规/⚪暂缓）</w:t>
      </w:r>
    </w:p>
    <w:p>
      <w:pPr>
        <w:pStyle w:val="ListParagraph"/>
        <w:numPr>
          <w:ilvl w:val="0"/>
          <w:numId w:val="2"/>
        </w:numPr>
        <w:spacing w:after="60" w:line="276"/>
      </w:pPr>
      <w:r>
        <w:rPr>
          <w:rFonts w:ascii="Times New Roman" w:cs="Times New Roman" w:eastAsia="宋体" w:hAnsi="Times New Roman"/>
          <w:sz w:val="21"/>
          <w:szCs w:val="21"/>
        </w:rPr>
        <w:t xml:space="preserve">风险项清单：不合规项的具体原因、影响程度、处置建议</w:t>
      </w:r>
    </w:p>
    <w:p>
      <w:pPr>
        <w:pStyle w:val="ListParagraph"/>
        <w:numPr>
          <w:ilvl w:val="0"/>
          <w:numId w:val="2"/>
        </w:numPr>
        <w:spacing w:after="60" w:line="276"/>
      </w:pPr>
      <w:r>
        <w:rPr>
          <w:rFonts w:ascii="Times New Roman" w:cs="Times New Roman" w:eastAsia="宋体" w:hAnsi="Times New Roman"/>
          <w:sz w:val="21"/>
          <w:szCs w:val="21"/>
        </w:rPr>
        <w:t xml:space="preserve">合规声明：整体合规度评估，可用于内部汇报和监管沟通</w:t>
      </w:r>
    </w:p>
    <w:p>
      <w:pPr>
        <w:spacing w:after="0" w:before="120"/>
      </w:pPr>
      <w:r>
        <w:rPr>
          <w:rFonts w:ascii="Times New Roman" w:cs="Times New Roman" w:eastAsia="宋体" w:hAnsi="Times New Roman"/>
          <w:sz w:val="21"/>
          <w:szCs w:val="21"/>
        </w:rPr>
        <w:t xml:space="preserve"/>
      </w:r>
    </w:p>
    <w:p>
      <w:pPr>
        <w:spacing w:after="20"/>
      </w:pPr>
      <w:r>
        <w:rPr>
          <w:rFonts w:ascii="Times New Roman" w:cs="Times New Roman" w:eastAsia="宋体" w:hAnsi="Times New Roman"/>
          <w:b/>
          <w:bCs/>
          <w:color w:val="78909C"/>
          <w:sz w:val="18"/>
          <w:szCs w:val="18"/>
        </w:rPr>
        <w:t xml:space="preserve">交付物 05</w:t>
      </w:r>
    </w:p>
    <w:p>
      <w:pPr>
        <w:keepNext/>
        <w:spacing w:after="40"/>
      </w:pPr>
      <w:r>
        <w:rPr>
          <w:rFonts w:ascii="Times New Roman" w:cs="Times New Roman" w:eastAsia="宋体" w:hAnsi="Times New Roman"/>
          <w:b/>
          <w:bCs/>
          <w:color w:val="1A237E"/>
          <w:sz w:val="22"/>
          <w:szCs w:val="22"/>
        </w:rPr>
        <w:t xml:space="preserve">数据维护计划</w:t>
      </w:r>
    </w:p>
    <w:p>
      <w:pPr>
        <w:spacing w:after="60"/>
      </w:pPr>
      <w:r>
        <w:rPr>
          <w:rFonts w:ascii="Times New Roman" w:cs="Times New Roman" w:eastAsia="宋体" w:hAnsi="Times New Roman"/>
          <w:color w:val="78909C"/>
          <w:sz w:val="18"/>
          <w:szCs w:val="18"/>
        </w:rPr>
        <w:t xml:space="preserve">格式：报告章节</w:t>
      </w:r>
    </w:p>
    <w:p>
      <w:pPr>
        <w:pStyle w:val="ListParagraph"/>
        <w:numPr>
          <w:ilvl w:val="0"/>
          <w:numId w:val="2"/>
        </w:numPr>
        <w:spacing w:after="60" w:line="276"/>
      </w:pPr>
      <w:r>
        <w:rPr>
          <w:rFonts w:ascii="Times New Roman" w:cs="Times New Roman" w:eastAsia="宋体" w:hAnsi="Times New Roman"/>
          <w:sz w:val="21"/>
          <w:szCs w:val="21"/>
        </w:rPr>
        <w:t xml:space="preserve">动态数据更新机制：SoH、循环次数等动态数据的更新频率、责任人、采集流程</w:t>
      </w:r>
    </w:p>
    <w:p>
      <w:pPr>
        <w:pStyle w:val="ListParagraph"/>
        <w:numPr>
          <w:ilvl w:val="0"/>
          <w:numId w:val="2"/>
        </w:numPr>
        <w:spacing w:after="60" w:line="276"/>
      </w:pPr>
      <w:r>
        <w:rPr>
          <w:rFonts w:ascii="Times New Roman" w:cs="Times New Roman" w:eastAsia="宋体" w:hAnsi="Times New Roman"/>
          <w:sz w:val="21"/>
          <w:szCs w:val="21"/>
        </w:rPr>
        <w:t xml:space="preserve">年度数据审核计划：再生含量等年度数据的刷新时间表</w:t>
      </w:r>
    </w:p>
    <w:p>
      <w:pPr>
        <w:pStyle w:val="ListParagraph"/>
        <w:numPr>
          <w:ilvl w:val="0"/>
          <w:numId w:val="2"/>
        </w:numPr>
        <w:spacing w:after="60" w:line="276"/>
      </w:pPr>
      <w:r>
        <w:rPr>
          <w:rFonts w:ascii="Times New Roman" w:cs="Times New Roman" w:eastAsia="宋体" w:hAnsi="Times New Roman"/>
          <w:sz w:val="21"/>
          <w:szCs w:val="21"/>
        </w:rPr>
        <w:t xml:space="preserve">数据变更管理流程：当电池设计/供应商/法规发生变化时的数据更新流程</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05</w:t>
      </w:r>
    </w:p>
    <w:p>
      <w:pPr>
        <w:pStyle w:val="Heading1"/>
        <w:keepNext/>
        <w:spacing w:after="200" w:before="360"/>
      </w:pPr>
      <w:r>
        <w:rPr>
          <w:rFonts w:ascii="Times New Roman" w:cs="Times New Roman" w:eastAsia="宋体" w:hAnsi="Times New Roman"/>
          <w:b/>
          <w:bCs/>
          <w:color w:val="1A237E"/>
          <w:sz w:val="32"/>
          <w:szCs w:val="32"/>
        </w:rPr>
        <w:t xml:space="preserve">服务定价</w:t>
      </w:r>
    </w:p>
    <w:p>
      <w:pPr>
        <w:spacing w:after="120" w:line="300"/>
      </w:pPr>
      <w:r>
        <w:rPr>
          <w:rFonts w:ascii="Times New Roman" w:cs="Times New Roman" w:eastAsia="宋体" w:hAnsi="Times New Roman"/>
          <w:sz w:val="21"/>
          <w:szCs w:val="21"/>
        </w:rPr>
        <w:t xml:space="preserve">根据SKU数量和数据复杂度分档定价。数据建设是差距评估之后的核心执行环节，与后续注册上线服务无缝衔接。</w:t>
      </w:r>
    </w:p>
    <w:p>
      <w:pPr>
        <w:pStyle w:val="Heading2"/>
        <w:keepNext/>
        <w:spacing w:after="120" w:before="240"/>
      </w:pPr>
      <w:r>
        <w:rPr>
          <w:rFonts w:ascii="Times New Roman" w:cs="Times New Roman" w:eastAsia="宋体" w:hAnsi="Times New Roman"/>
          <w:b/>
          <w:bCs/>
          <w:color w:val="283593"/>
          <w:sz w:val="26"/>
          <w:szCs w:val="26"/>
        </w:rPr>
        <w:t xml:space="preserve">标准版 — 数据建设标准包</w:t>
      </w:r>
    </w:p>
    <w:p>
      <w:pPr>
        <w:spacing w:after="60"/>
      </w:pPr>
      <w:r>
        <w:rPr>
          <w:rFonts w:ascii="Times New Roman" w:cs="Times New Roman" w:eastAsia="宋体" w:hAnsi="Times New Roman"/>
          <w:b/>
          <w:bCs/>
          <w:color w:val="2E7D32"/>
          <w:sz w:val="22"/>
          <w:szCs w:val="22"/>
        </w:rPr>
        <w:t xml:space="preserve">适合：SKU≤20，供应商≤10家</w:t>
      </w:r>
    </w:p>
    <w:p>
      <w:pPr>
        <w:spacing w:after="120"/>
      </w:pPr>
      <w:r>
        <w:rPr>
          <w:rFonts w:ascii="Times New Roman" w:cs="Times New Roman" w:eastAsia="宋体" w:hAnsi="Times New Roman"/>
          <w:b/>
          <w:bCs/>
          <w:color w:val="1A237E"/>
          <w:sz w:val="36"/>
          <w:szCs w:val="36"/>
        </w:rPr>
        <w:t xml:space="preserve">¥200,000 - 300,000</w:t>
      </w:r>
    </w:p>
    <w:p>
      <w:pPr>
        <w:pStyle w:val="ListParagraph"/>
        <w:numPr>
          <w:ilvl w:val="0"/>
          <w:numId w:val="2"/>
        </w:numPr>
        <w:spacing w:after="60" w:line="276"/>
      </w:pPr>
      <w:r>
        <w:rPr>
          <w:rFonts w:ascii="Times New Roman" w:cs="Times New Roman" w:eastAsia="宋体" w:hAnsi="Times New Roman"/>
          <w:sz w:val="21"/>
          <w:szCs w:val="21"/>
        </w:rPr>
        <w:t xml:space="preserve">数据规划 + 供应商采集打包</w:t>
      </w:r>
    </w:p>
    <w:p>
      <w:pPr>
        <w:pStyle w:val="ListParagraph"/>
        <w:numPr>
          <w:ilvl w:val="0"/>
          <w:numId w:val="2"/>
        </w:numPr>
        <w:spacing w:after="60" w:line="276"/>
      </w:pPr>
      <w:r>
        <w:rPr>
          <w:rFonts w:ascii="Times New Roman" w:cs="Times New Roman" w:eastAsia="宋体" w:hAnsi="Times New Roman"/>
          <w:sz w:val="21"/>
          <w:szCs w:val="21"/>
        </w:rPr>
        <w:t xml:space="preserve">数据卡建立（≤20个型号 × 35字段）</w:t>
      </w:r>
    </w:p>
    <w:p>
      <w:pPr>
        <w:pStyle w:val="ListParagraph"/>
        <w:numPr>
          <w:ilvl w:val="0"/>
          <w:numId w:val="2"/>
        </w:numPr>
        <w:spacing w:after="60" w:line="276"/>
      </w:pPr>
      <w:r>
        <w:rPr>
          <w:rFonts w:ascii="Times New Roman" w:cs="Times New Roman" w:eastAsia="宋体" w:hAnsi="Times New Roman"/>
          <w:sz w:val="21"/>
          <w:szCs w:val="21"/>
        </w:rPr>
        <w:t xml:space="preserve">缺口分析报告 + 采集计划</w:t>
      </w:r>
    </w:p>
    <w:p>
      <w:pPr>
        <w:pStyle w:val="ListParagraph"/>
        <w:numPr>
          <w:ilvl w:val="0"/>
          <w:numId w:val="2"/>
        </w:numPr>
        <w:spacing w:after="60" w:line="276"/>
      </w:pPr>
      <w:r>
        <w:rPr>
          <w:rFonts w:ascii="Times New Roman" w:cs="Times New Roman" w:eastAsia="宋体" w:hAnsi="Times New Roman"/>
          <w:sz w:val="21"/>
          <w:szCs w:val="21"/>
        </w:rPr>
        <w:t xml:space="preserve">问卷代发 + 催收管理（≤10家供应商）</w:t>
      </w:r>
    </w:p>
    <w:p>
      <w:pPr>
        <w:pStyle w:val="ListParagraph"/>
        <w:numPr>
          <w:ilvl w:val="0"/>
          <w:numId w:val="2"/>
        </w:numPr>
        <w:spacing w:after="60" w:line="276"/>
      </w:pPr>
      <w:r>
        <w:rPr>
          <w:rFonts w:ascii="Times New Roman" w:cs="Times New Roman" w:eastAsia="宋体" w:hAnsi="Times New Roman"/>
          <w:sz w:val="21"/>
          <w:szCs w:val="21"/>
        </w:rPr>
        <w:t xml:space="preserve">三级数据核验（L1+L2+L3）</w:t>
      </w:r>
    </w:p>
    <w:p>
      <w:pPr>
        <w:pStyle w:val="ListParagraph"/>
        <w:numPr>
          <w:ilvl w:val="0"/>
          <w:numId w:val="2"/>
        </w:numPr>
        <w:spacing w:after="60" w:line="276"/>
      </w:pPr>
      <w:r>
        <w:rPr>
          <w:rFonts w:ascii="Times New Roman" w:cs="Times New Roman" w:eastAsia="宋体" w:hAnsi="Times New Roman"/>
          <w:sz w:val="21"/>
          <w:szCs w:val="21"/>
        </w:rPr>
        <w:t xml:space="preserve">完整数据手册（5大交付物）</w:t>
      </w:r>
    </w:p>
    <w:p>
      <w:pPr>
        <w:pStyle w:val="ListParagraph"/>
        <w:numPr>
          <w:ilvl w:val="0"/>
          <w:numId w:val="2"/>
        </w:numPr>
        <w:spacing w:after="60" w:line="276"/>
      </w:pPr>
      <w:r>
        <w:rPr>
          <w:rFonts w:ascii="Times New Roman" w:cs="Times New Roman" w:eastAsia="宋体" w:hAnsi="Times New Roman"/>
          <w:sz w:val="21"/>
          <w:szCs w:val="21"/>
        </w:rPr>
        <w:t xml:space="preserve">数据合规性报告（71项逐项检查）</w:t>
      </w:r>
    </w:p>
    <w:p>
      <w:pPr>
        <w:pStyle w:val="ListParagraph"/>
        <w:numPr>
          <w:ilvl w:val="0"/>
          <w:numId w:val="2"/>
        </w:numPr>
        <w:spacing w:after="60" w:line="276"/>
      </w:pPr>
      <w:r>
        <w:rPr>
          <w:rFonts w:ascii="Times New Roman" w:cs="Times New Roman" w:eastAsia="宋体" w:hAnsi="Times New Roman"/>
          <w:sz w:val="21"/>
          <w:szCs w:val="21"/>
        </w:rPr>
        <w:t xml:space="preserve">服务周期：4-6周</w:t>
      </w:r>
    </w:p>
    <w:p>
      <w:pPr>
        <w:pStyle w:val="Heading2"/>
        <w:keepNext/>
        <w:spacing w:after="120" w:before="240"/>
      </w:pPr>
      <w:r>
        <w:rPr>
          <w:rFonts w:ascii="Times New Roman" w:cs="Times New Roman" w:eastAsia="宋体" w:hAnsi="Times New Roman"/>
          <w:b/>
          <w:bCs/>
          <w:color w:val="283593"/>
          <w:sz w:val="26"/>
          <w:szCs w:val="26"/>
        </w:rPr>
        <w:t xml:space="preserve">旗舰版 — 数据建设全量包</w:t>
      </w:r>
    </w:p>
    <w:p>
      <w:pPr>
        <w:spacing w:after="60"/>
      </w:pPr>
      <w:r>
        <w:rPr>
          <w:rFonts w:ascii="Times New Roman" w:cs="Times New Roman" w:eastAsia="宋体" w:hAnsi="Times New Roman"/>
          <w:b/>
          <w:bCs/>
          <w:color w:val="2E7D32"/>
          <w:sz w:val="22"/>
          <w:szCs w:val="22"/>
        </w:rPr>
        <w:t xml:space="preserve">适合：SKU&gt;20，供应商&gt;10家，复杂供应链</w:t>
      </w:r>
    </w:p>
    <w:p>
      <w:pPr>
        <w:spacing w:after="120"/>
      </w:pPr>
      <w:r>
        <w:rPr>
          <w:rFonts w:ascii="Times New Roman" w:cs="Times New Roman" w:eastAsia="宋体" w:hAnsi="Times New Roman"/>
          <w:b/>
          <w:bCs/>
          <w:color w:val="1A237E"/>
          <w:sz w:val="36"/>
          <w:szCs w:val="36"/>
        </w:rPr>
        <w:t xml:space="preserve">¥300,000 - 450,000</w:t>
      </w:r>
    </w:p>
    <w:p>
      <w:pPr>
        <w:pStyle w:val="ListParagraph"/>
        <w:numPr>
          <w:ilvl w:val="0"/>
          <w:numId w:val="2"/>
        </w:numPr>
        <w:spacing w:after="60" w:line="276"/>
      </w:pPr>
      <w:r>
        <w:rPr>
          <w:rFonts w:ascii="Times New Roman" w:cs="Times New Roman" w:eastAsia="宋体" w:hAnsi="Times New Roman"/>
          <w:sz w:val="21"/>
          <w:szCs w:val="21"/>
        </w:rPr>
        <w:t xml:space="preserve">包含标准版全部内容</w:t>
      </w:r>
    </w:p>
    <w:p>
      <w:pPr>
        <w:pStyle w:val="ListParagraph"/>
        <w:numPr>
          <w:ilvl w:val="0"/>
          <w:numId w:val="2"/>
        </w:numPr>
        <w:spacing w:after="60" w:line="276"/>
      </w:pPr>
      <w:r>
        <w:rPr>
          <w:rFonts w:ascii="Times New Roman" w:cs="Times New Roman" w:eastAsia="宋体" w:hAnsi="Times New Roman"/>
          <w:sz w:val="21"/>
          <w:szCs w:val="21"/>
        </w:rPr>
        <w:t xml:space="preserve">不限SKU数量</w:t>
      </w:r>
    </w:p>
    <w:p>
      <w:pPr>
        <w:pStyle w:val="ListParagraph"/>
        <w:numPr>
          <w:ilvl w:val="0"/>
          <w:numId w:val="2"/>
        </w:numPr>
        <w:spacing w:after="60" w:line="276"/>
      </w:pPr>
      <w:r>
        <w:rPr>
          <w:rFonts w:ascii="Times New Roman" w:cs="Times New Roman" w:eastAsia="宋体" w:hAnsi="Times New Roman"/>
          <w:sz w:val="21"/>
          <w:szCs w:val="21"/>
        </w:rPr>
        <w:t xml:space="preserve">复杂供应链协调（多级供应商追溯）</w:t>
      </w:r>
    </w:p>
    <w:p>
      <w:pPr>
        <w:pStyle w:val="ListParagraph"/>
        <w:numPr>
          <w:ilvl w:val="0"/>
          <w:numId w:val="2"/>
        </w:numPr>
        <w:spacing w:after="60" w:line="276"/>
      </w:pPr>
      <w:r>
        <w:rPr>
          <w:rFonts w:ascii="Times New Roman" w:cs="Times New Roman" w:eastAsia="宋体" w:hAnsi="Times New Roman"/>
          <w:sz w:val="21"/>
          <w:szCs w:val="21"/>
        </w:rPr>
        <w:t xml:space="preserve">第三方检测协调（碳足迹、再生含量等）</w:t>
      </w:r>
    </w:p>
    <w:p>
      <w:pPr>
        <w:pStyle w:val="ListParagraph"/>
        <w:numPr>
          <w:ilvl w:val="0"/>
          <w:numId w:val="2"/>
        </w:numPr>
        <w:spacing w:after="60" w:line="276"/>
      </w:pPr>
      <w:r>
        <w:rPr>
          <w:rFonts w:ascii="Times New Roman" w:cs="Times New Roman" w:eastAsia="宋体" w:hAnsi="Times New Roman"/>
          <w:sz w:val="21"/>
          <w:szCs w:val="21"/>
        </w:rPr>
        <w:t xml:space="preserve">动态数据接口方案设计（BMS对接）</w:t>
      </w:r>
    </w:p>
    <w:p>
      <w:pPr>
        <w:pStyle w:val="ListParagraph"/>
        <w:numPr>
          <w:ilvl w:val="0"/>
          <w:numId w:val="2"/>
        </w:numPr>
        <w:spacing w:after="60" w:line="276"/>
      </w:pPr>
      <w:r>
        <w:rPr>
          <w:rFonts w:ascii="Times New Roman" w:cs="Times New Roman" w:eastAsia="宋体" w:hAnsi="Times New Roman"/>
          <w:sz w:val="21"/>
          <w:szCs w:val="21"/>
        </w:rPr>
        <w:t xml:space="preserve">数据维护计划定制</w:t>
      </w:r>
    </w:p>
    <w:p>
      <w:pPr>
        <w:pStyle w:val="ListParagraph"/>
        <w:numPr>
          <w:ilvl w:val="0"/>
          <w:numId w:val="2"/>
        </w:numPr>
        <w:spacing w:after="60" w:line="276"/>
      </w:pPr>
      <w:r>
        <w:rPr>
          <w:rFonts w:ascii="Times New Roman" w:cs="Times New Roman" w:eastAsia="宋体" w:hAnsi="Times New Roman"/>
          <w:sz w:val="21"/>
          <w:szCs w:val="21"/>
        </w:rPr>
        <w:t xml:space="preserve">后续③注册上线服务专属折扣</w:t>
      </w:r>
    </w:p>
    <w:p>
      <w:pPr>
        <w:pStyle w:val="ListParagraph"/>
        <w:numPr>
          <w:ilvl w:val="0"/>
          <w:numId w:val="2"/>
        </w:numPr>
        <w:spacing w:after="60" w:line="276"/>
      </w:pPr>
      <w:r>
        <w:rPr>
          <w:rFonts w:ascii="Times New Roman" w:cs="Times New Roman" w:eastAsia="宋体" w:hAnsi="Times New Roman"/>
          <w:sz w:val="21"/>
          <w:szCs w:val="21"/>
        </w:rPr>
        <w:t xml:space="preserve">服务周期：6-8周</w:t>
      </w:r>
    </w:p>
    <w:p>
      <w:pPr>
        <w:spacing w:after="0" w:before="160"/>
      </w:pPr>
      <w:r>
        <w:rPr>
          <w:rFonts w:ascii="Times New Roman" w:cs="Times New Roman" w:eastAsia="宋体" w:hAnsi="Times New Roman"/>
          <w:sz w:val="21"/>
          <w:szCs w:val="21"/>
        </w:rPr>
        <w:t xml:space="preserve"/>
      </w:r>
    </w:p>
    <w:p>
      <w:pPr>
        <w:spacing w:after="80" w:line="300"/>
      </w:pPr>
      <w:r>
        <w:rPr>
          <w:rFonts w:ascii="Times New Roman" w:cs="Times New Roman" w:eastAsia="宋体" w:hAnsi="Times New Roman"/>
          <w:b/>
          <w:bCs/>
          <w:sz w:val="21"/>
          <w:szCs w:val="21"/>
        </w:rPr>
        <w:t xml:space="preserve">💳 付款节奏：</w:t>
      </w:r>
      <w:r>
        <w:rPr>
          <w:rFonts w:ascii="Times New Roman" w:cs="Times New Roman" w:eastAsia="宋体" w:hAnsi="Times New Roman"/>
          <w:sz w:val="21"/>
          <w:szCs w:val="21"/>
        </w:rPr>
        <w:t xml:space="preserve">签约时支付50%启动款，数据手册交付验收后支付剩余50%，支持对公转账。</w:t>
      </w:r>
    </w:p>
    <w:p>
      <w:pPr>
        <w:spacing w:after="80" w:line="300"/>
      </w:pPr>
      <w:r>
        <w:rPr>
          <w:rFonts w:ascii="Times New Roman" w:cs="Times New Roman" w:eastAsia="宋体" w:hAnsi="Times New Roman"/>
          <w:b/>
          <w:bCs/>
          <w:sz w:val="21"/>
          <w:szCs w:val="21"/>
        </w:rPr>
        <w:t xml:space="preserve">🚀 差旅费用：</w:t>
      </w:r>
      <w:r>
        <w:rPr>
          <w:rFonts w:ascii="Times New Roman" w:cs="Times New Roman" w:eastAsia="宋体" w:hAnsi="Times New Roman"/>
          <w:sz w:val="21"/>
          <w:szCs w:val="21"/>
        </w:rPr>
        <w:t xml:space="preserve">差旅费用实报实销，不包含在服务报价中。</w:t>
      </w:r>
    </w:p>
    <w:p>
      <w:pPr>
        <w:spacing w:after="80" w:line="300"/>
      </w:pPr>
      <w:r>
        <w:rPr>
          <w:rFonts w:ascii="Times New Roman" w:cs="Times New Roman" w:eastAsia="宋体" w:hAnsi="Times New Roman"/>
          <w:b/>
          <w:bCs/>
          <w:sz w:val="21"/>
          <w:szCs w:val="21"/>
        </w:rPr>
        <w:t xml:space="preserve">🔗 联合签约优惠：</w:t>
      </w:r>
      <w:r>
        <w:rPr>
          <w:rFonts w:ascii="Times New Roman" w:cs="Times New Roman" w:eastAsia="宋体" w:hAnsi="Times New Roman"/>
          <w:sz w:val="21"/>
          <w:szCs w:val="21"/>
        </w:rPr>
        <w:t xml:space="preserve">与①差距评估同时签约享9折优惠；费用可按约定比例抵扣。</w:t>
      </w:r>
    </w:p>
    <w:p>
      <w:pPr>
        <w:spacing w:after="80" w:line="300"/>
      </w:pPr>
      <w:r>
        <w:rPr>
          <w:rFonts w:ascii="Times New Roman" w:cs="Times New Roman" w:eastAsia="宋体" w:hAnsi="Times New Roman"/>
          <w:b/>
          <w:bCs/>
          <w:sz w:val="21"/>
          <w:szCs w:val="21"/>
        </w:rPr>
        <w:t xml:space="preserve">📅 优先排期：</w:t>
      </w:r>
      <w:r>
        <w:rPr>
          <w:rFonts w:ascii="Times New Roman" w:cs="Times New Roman" w:eastAsia="宋体" w:hAnsi="Times New Roman"/>
          <w:sz w:val="21"/>
          <w:szCs w:val="21"/>
        </w:rPr>
        <w:t xml:space="preserve">数据建设客户后续③注册上线服务享受优先排期权。</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06</w:t>
      </w:r>
    </w:p>
    <w:p>
      <w:pPr>
        <w:pStyle w:val="Heading1"/>
        <w:keepNext/>
        <w:spacing w:after="200" w:before="360"/>
      </w:pPr>
      <w:r>
        <w:rPr>
          <w:rFonts w:ascii="Times New Roman" w:cs="Times New Roman" w:eastAsia="宋体" w:hAnsi="Times New Roman"/>
          <w:b/>
          <w:bCs/>
          <w:color w:val="1A237E"/>
          <w:sz w:val="32"/>
          <w:szCs w:val="32"/>
        </w:rPr>
        <w:t xml:space="preserve">为什么选择我们</w:t>
      </w:r>
    </w:p>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标准化体系</w:t>
            </w:r>
          </w:p>
          <w:p>
            <w:pPr>
              <w:spacing w:after="0" w:line="276"/>
            </w:pPr>
            <w:r>
              <w:rPr>
                <w:rFonts w:ascii="Times New Roman" w:cs="Times New Roman" w:eastAsia="宋体" w:hAnsi="Times New Roman"/>
                <w:color w:val="546E7A"/>
                <w:sz w:val="20"/>
                <w:szCs w:val="20"/>
              </w:rPr>
              <w:t xml:space="preserve">数据卡35字段模板 + 7-14-21天标准催收节奏 + 三级核验流程，确保质量稳定。不依赖单个顾问的个人经验，每个项目按统一标准执行，结论可追溯、可复核。</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供应商管理经验</w:t>
            </w:r>
          </w:p>
          <w:p>
            <w:pPr>
              <w:spacing w:after="0" w:line="276"/>
            </w:pPr>
            <w:r>
              <w:rPr>
                <w:rFonts w:ascii="Times New Roman" w:cs="Times New Roman" w:eastAsia="宋体" w:hAnsi="Times New Roman"/>
                <w:color w:val="546E7A"/>
                <w:sz w:val="20"/>
                <w:szCs w:val="20"/>
              </w:rPr>
              <w:t xml:space="preserve">中英双语问卷（Part A-G共7部分）、专业催收机制、升级处理流程、供应商配合度评估体系——不是简单代发问卷，而是系统化的供应商数据回收管理。第三方催收回复率远高于企业自行催收。</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法规专业度</w:t>
            </w:r>
          </w:p>
          <w:p>
            <w:pPr>
              <w:spacing w:after="0" w:line="276"/>
            </w:pPr>
            <w:r>
              <w:rPr>
                <w:rFonts w:ascii="Times New Roman" w:cs="Times New Roman" w:eastAsia="宋体" w:hAnsi="Times New Roman"/>
                <w:color w:val="546E7A"/>
                <w:sz w:val="20"/>
                <w:szCs w:val="20"/>
              </w:rPr>
              <w:t xml:space="preserve">71个数据点逐项合规性检查，不是简单的数据整理。每个字段都对照(EU) 2023/1542法规条款核验口径，区分强制项/条件适用项/暂缓项，确保数据提交后经得起监管审查。</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全链条服务</w:t>
            </w:r>
          </w:p>
          <w:p>
            <w:pPr>
              <w:spacing w:after="0" w:line="276"/>
            </w:pPr>
            <w:r>
              <w:rPr>
                <w:rFonts w:ascii="Times New Roman" w:cs="Times New Roman" w:eastAsia="宋体" w:hAnsi="Times New Roman"/>
                <w:color w:val="546E7A"/>
                <w:sz w:val="20"/>
                <w:szCs w:val="20"/>
              </w:rPr>
              <w:t xml:space="preserve">从①差距评估 → ②数据建设 → ③注册上线 → ④年度托管，无缝衔接。数据建设成果直接转化为注册输入，避免“做了数据却无法提交”的断层。一站式委托，减少对接成本。</w:t>
            </w:r>
          </w:p>
        </w:tc>
      </w:tr>
    </w:tbl>
    <w:p>
      <w:pPr>
        <w:spacing w:after="0" w:before="120"/>
      </w:pPr>
      <w:r>
        <w:rPr>
          <w:rFonts w:ascii="Times New Roman" w:cs="Times New Roman" w:eastAsia="宋体" w:hAnsi="Times New Roman"/>
          <w:sz w:val="21"/>
          <w:szCs w:val="21"/>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0E0E0" w:sz="1"/>
              <w:left w:val="single" w:color="E0E0E0" w:sz="1"/>
              <w:bottom w:val="single" w:color="E0E0E0" w:sz="1"/>
              <w:right w:val="single" w:color="E0E0E0" w:sz="1"/>
            </w:tcBorders>
            <w:shd w:fill="F5F6FA" w:color="auto" w:val="clear"/>
            <w:tcMar>
              <w:top w:type="dxa" w:w="120"/>
              <w:left w:type="dxa" w:w="200"/>
              <w:bottom w:type="dxa" w:w="120"/>
              <w:right w:type="dxa" w:w="200"/>
            </w:tcMar>
          </w:tcPr>
          <w:p>
            <w:pPr>
              <w:spacing w:after="60"/>
            </w:pPr>
            <w:r>
              <w:rPr>
                <w:rFonts w:ascii="Times New Roman" w:cs="Times New Roman" w:eastAsia="宋体" w:hAnsi="Times New Roman"/>
                <w:b/>
                <w:bCs/>
                <w:color w:val="1A237E"/>
                <w:sz w:val="22"/>
                <w:szCs w:val="22"/>
              </w:rPr>
              <w:t xml:space="preserve">🔒 数据安全</w:t>
            </w:r>
          </w:p>
          <w:p>
            <w:pPr>
              <w:spacing w:after="0" w:line="276"/>
            </w:pPr>
            <w:r>
              <w:rPr>
                <w:rFonts w:ascii="Times New Roman" w:cs="Times New Roman" w:eastAsia="宋体" w:hAnsi="Times New Roman"/>
                <w:color w:val="546E7A"/>
                <w:sz w:val="20"/>
                <w:szCs w:val="20"/>
              </w:rPr>
              <w:t xml:space="preserve">NDA双向保密 + 加密数据通道 + 项目权限管控。供应商数据涉及商业机密的字段（如CRM原产国、尽调政策）按法规三层访问架构分级处理（公开/受限/监管），全程受控。</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07</w:t>
      </w:r>
    </w:p>
    <w:p>
      <w:pPr>
        <w:pStyle w:val="Heading1"/>
        <w:keepNext/>
        <w:spacing w:after="200" w:before="360"/>
      </w:pPr>
      <w:r>
        <w:rPr>
          <w:rFonts w:ascii="Times New Roman" w:cs="Times New Roman" w:eastAsia="宋体" w:hAnsi="Times New Roman"/>
          <w:b/>
          <w:bCs/>
          <w:color w:val="1A237E"/>
          <w:sz w:val="32"/>
          <w:szCs w:val="32"/>
        </w:rPr>
        <w:t xml:space="preserve">常见问题</w:t>
      </w:r>
    </w:p>
    <w:p>
      <w:pPr>
        <w:spacing w:after="120" w:line="300"/>
      </w:pPr>
      <w:r>
        <w:rPr>
          <w:rFonts w:ascii="Times New Roman" w:cs="Times New Roman" w:eastAsia="宋体" w:hAnsi="Times New Roman"/>
          <w:sz w:val="21"/>
          <w:szCs w:val="21"/>
        </w:rPr>
        <w:t xml:space="preserve">以下是客户最常问到的10个问题。如还有其他疑问，欢迎直接联系项目经理。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Q1：数据建设和差距评估有什么区别？</w:t>
      </w:r>
    </w:p>
    <w:p>
      <w:pPr>
        <w:spacing w:after="80" w:line="276"/>
      </w:pPr>
      <w:r>
        <w:rPr>
          <w:rFonts w:ascii="Times New Roman" w:cs="Times New Roman" w:eastAsia="宋体" w:hAnsi="Times New Roman"/>
          <w:color w:val="546E7A"/>
          <w:sz w:val="20"/>
          <w:szCs w:val="20"/>
        </w:rPr>
        <w:t xml:space="preserve">差距评估是“诊断”——告诉您71个数据点哪些合格、哪些有缺口、缺口有多严重，产出的是评估报告。数据建设是“治疗”——基于诊断结果，实际帮您建数据卡、发问卷、催供应商、做核验，最终产出可直接提交注册中心的数据手册。简单说：评估告诉您“差什么”（产出报告），建设帮您“补上来”（产出数据手册）。两项服务是上下游关系，建议连续执行。</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Q2：我的供应商不配合怎么办？</w:t>
      </w:r>
    </w:p>
    <w:p>
      <w:pPr>
        <w:spacing w:after="80" w:line="276"/>
      </w:pPr>
      <w:r>
        <w:rPr>
          <w:rFonts w:ascii="Times New Roman" w:cs="Times New Roman" w:eastAsia="宋体" w:hAnsi="Times New Roman"/>
          <w:color w:val="546E7A"/>
          <w:sz w:val="20"/>
          <w:szCs w:val="20"/>
        </w:rPr>
        <w:t xml:space="preserve">这正是我们服务的核心价值之一。我们有成熟的四阶段催收体系：第1周首次发放前先电话沟通说明重要性，再发正式问卷；第2周未回复供应商温和提醒，提供填写协助；第3周升级催收，同步通知您公司采购部门介入；第4周最终催收+替代方案讨论（如第三方检测）。配合度评估报告会标注A/B/C三级，对C级供应商给出更换或升级沟通的具体建议。多年经验告诉我们，专业第三方出面催收的回复率远高于企业自行催收。</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Q3：需要我提供什么资料？</w:t>
      </w:r>
    </w:p>
    <w:p>
      <w:pPr>
        <w:spacing w:after="80" w:line="276"/>
      </w:pPr>
      <w:r>
        <w:rPr>
          <w:rFonts w:ascii="Times New Roman" w:cs="Times New Roman" w:eastAsia="宋体" w:hAnsi="Times New Roman"/>
          <w:color w:val="546E7A"/>
          <w:sz w:val="20"/>
          <w:szCs w:val="20"/>
        </w:rPr>
        <w:t xml:space="preserve">主要需要5类资料：①差距评估报告（如由我方完成可直接交接）；②电池型号清单（SKU列表，含型号名称、电池类别、规格书）；③内部已有数据（制造商信息、技术参数、认证文件、BOM表、测试报告等）；④供应商名单及联系方式（名称、联系人、邮箱、电话、供应材料）；⑤指定一名内部对接人（协调研发、质量、采购、IT各部门的数据提供）。我们会通过结构化采集表引导您提供，不需要您提前整理齐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Q4：数据建设周期多长？</w:t>
      </w:r>
    </w:p>
    <w:p>
      <w:pPr>
        <w:spacing w:after="80" w:line="276"/>
      </w:pPr>
      <w:r>
        <w:rPr>
          <w:rFonts w:ascii="Times New Roman" w:cs="Times New Roman" w:eastAsia="宋体" w:hAnsi="Times New Roman"/>
          <w:color w:val="546E7A"/>
          <w:sz w:val="20"/>
          <w:szCs w:val="20"/>
        </w:rPr>
        <w:t xml:space="preserve">标准版4-6周，旗舰版6-8周。实际周期取决于两个关键因素：SKU数量（型号越多，数据卡建立和核验工作量越大）和供应商配合度（这是最长路径项）。签约前我们会如实评估并在项目计划中写明预期周期。加急项目可压缩约30%时间，需加收30%加急费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Q5：如果某些数据确实收不到怎么办？</w:t>
      </w:r>
    </w:p>
    <w:p>
      <w:pPr>
        <w:spacing w:after="80" w:line="276"/>
      </w:pPr>
      <w:r>
        <w:rPr>
          <w:rFonts w:ascii="Times New Roman" w:cs="Times New Roman" w:eastAsia="宋体" w:hAnsi="Times New Roman"/>
          <w:color w:val="546E7A"/>
          <w:sz w:val="20"/>
          <w:szCs w:val="20"/>
        </w:rPr>
        <w:t xml:space="preserve">首先分析原因：供应商不愿提供→通过升级催收、采购部门施压解决，如仍不配合评估替代方案（委托第三方检测机构出具报告）；供应商自己也没有→协助协调第三方检测（如碳足迹LCA检测、再生含量检测），我们可推荐合作检测机构。如果穷尽所有手段仍无法获取，在数据手册中如实标注“缺口”并附补救方案与时间表。我们的目标是最大化数据齐备率，但不会对无法获取的数据做虚假处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Q6：数据手册做好后，可以直接用于注册吗？</w:t>
      </w:r>
    </w:p>
    <w:p>
      <w:pPr>
        <w:spacing w:after="80" w:line="276"/>
      </w:pPr>
      <w:r>
        <w:rPr>
          <w:rFonts w:ascii="Times New Roman" w:cs="Times New Roman" w:eastAsia="宋体" w:hAnsi="Times New Roman"/>
          <w:color w:val="546E7A"/>
          <w:sz w:val="20"/>
          <w:szCs w:val="20"/>
        </w:rPr>
        <w:t xml:space="preserve">可以。数据手册是按照注册中心的数据格式要求编制的：所有字段与法规71个数据点一一对应，经三级核验确认数据质量，格式满足DPP注册中心的提交要求。数据手册交付后可直接进入③注册上线服务，完成护照数据的系统提交。如果您选择自行注册，数据手册同样可直接使用。</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Q7：后续数据更新怎么办？</w:t>
      </w:r>
    </w:p>
    <w:p>
      <w:pPr>
        <w:spacing w:after="80" w:line="276"/>
      </w:pPr>
      <w:r>
        <w:rPr>
          <w:rFonts w:ascii="Times New Roman" w:cs="Times New Roman" w:eastAsia="宋体" w:hAnsi="Times New Roman"/>
          <w:color w:val="546E7A"/>
          <w:sz w:val="20"/>
          <w:szCs w:val="20"/>
        </w:rPr>
        <w:t xml:space="preserve">欧盟电池法规要求动态数据持续更新：动态数据（SoH、循环次数等）需持续更新；年度数据（再生含量比例等）需每年刷新；法规修订可能导致新增数据要求。数据手册交付时会附带《数据维护计划》，说明更新频率和责任人。您也可以选择签订④年度数据维护合同，由我们持续跟踪数据更新和法规变化。</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Q8：你们的数据模板是标准的吗？</w:t>
      </w:r>
    </w:p>
    <w:p>
      <w:pPr>
        <w:spacing w:after="80" w:line="276"/>
      </w:pPr>
      <w:r>
        <w:rPr>
          <w:rFonts w:ascii="Times New Roman" w:cs="Times New Roman" w:eastAsia="宋体" w:hAnsi="Times New Roman"/>
          <w:color w:val="546E7A"/>
          <w:sz w:val="20"/>
          <w:szCs w:val="20"/>
        </w:rPr>
        <w:t xml:space="preserve">是的，完全基于法规标准设计：数据卡的35个字段严格对应欧盟电池法规(EU) 2023/1542附录XIII的71个数据点要求；字段定义与欧委会数据点指南（2026年8月v2.0版）一一对应；供应商问卷的7个Part（A-G）覆盖了所有需要供应商提供的数据项。模板基于法规原文和行业最佳实践设计，不是自创标准。</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Q9：数据建设费用怎么支付？</w:t>
      </w:r>
    </w:p>
    <w:p>
      <w:pPr>
        <w:spacing w:after="80" w:line="276"/>
      </w:pPr>
      <w:r>
        <w:rPr>
          <w:rFonts w:ascii="Times New Roman" w:cs="Times New Roman" w:eastAsia="宋体" w:hAnsi="Times New Roman"/>
          <w:color w:val="546E7A"/>
          <w:sz w:val="20"/>
          <w:szCs w:val="20"/>
        </w:rPr>
        <w:t xml:space="preserve">服务费分两期支付：签约时支付50%启动款；交付验收后支付剩余50%尾款。支持对公转账，可开具增值税专用发票。已完成差距评估的客户，评估费可按约定比例抵扣数据建设费用。差旅费用实报实销，不包含在服务报价中。</w:t>
      </w:r>
    </w:p>
    <w:p>
      <w:pPr>
        <w:spacing w:after="0" w:before="120"/>
      </w:pPr>
      <w:r>
        <w:rPr>
          <w:rFonts w:ascii="Times New Roman" w:cs="Times New Roman" w:eastAsia="宋体" w:hAnsi="Times New Roman"/>
          <w:sz w:val="21"/>
          <w:szCs w:val="21"/>
        </w:rPr>
        <w:t xml:space="preserve"/>
      </w:r>
    </w:p>
    <w:p>
      <w:pPr>
        <w:keepNext/>
        <w:spacing w:after="60"/>
      </w:pPr>
      <w:r>
        <w:rPr>
          <w:rFonts w:ascii="Times New Roman" w:cs="Times New Roman" w:eastAsia="宋体" w:hAnsi="Times New Roman"/>
          <w:b/>
          <w:bCs/>
          <w:color w:val="1A237E"/>
          <w:sz w:val="22"/>
          <w:szCs w:val="22"/>
        </w:rPr>
        <w:t xml:space="preserve">Q10：和差距评估一起签有优惠吗？</w:t>
      </w:r>
    </w:p>
    <w:p>
      <w:pPr>
        <w:spacing w:after="80" w:line="276"/>
      </w:pPr>
      <w:r>
        <w:rPr>
          <w:rFonts w:ascii="Times New Roman" w:cs="Times New Roman" w:eastAsia="宋体" w:hAnsi="Times New Roman"/>
          <w:color w:val="546E7A"/>
          <w:sz w:val="20"/>
          <w:szCs w:val="20"/>
        </w:rPr>
        <w:t xml:space="preserve">有，两方面优惠：价格优惠——同时签约①差距评估和②数据建设，享受9折优惠；效率优势——两项服务一起签约可以确保差距评估的输出无缝衔接到数据建设的输入，避免中间环节的信息损耗和重复沟通，总周期可缩短1-2周。如果分步签约，评估费也可按约定比例抵扣数据建设费用，但无法享受打包折扣和效率优势。建议有明确合规需求的企业一次性签约两项服务。</w:t>
      </w:r>
    </w:p>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Part 08</w:t>
      </w:r>
    </w:p>
    <w:p>
      <w:pPr>
        <w:pStyle w:val="Heading1"/>
        <w:keepNext/>
        <w:spacing w:after="200" w:before="360"/>
      </w:pPr>
      <w:r>
        <w:rPr>
          <w:rFonts w:ascii="Times New Roman" w:cs="Times New Roman" w:eastAsia="宋体" w:hAnsi="Times New Roman"/>
          <w:b/>
          <w:bCs/>
          <w:color w:val="1A237E"/>
          <w:sz w:val="32"/>
          <w:szCs w:val="32"/>
        </w:rPr>
        <w:t xml:space="preserve">立即开始</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2E7D32" w:sz="1"/>
              <w:left w:val="single" w:color="2E7D32" w:sz="6"/>
              <w:bottom w:val="single" w:color="2E7D32" w:sz="1"/>
              <w:right w:val="single" w:color="2E7D32" w:sz="1"/>
            </w:tcBorders>
            <w:shd w:fill="E8F5E9" w:color="auto" w:val="clear"/>
            <w:tcMar>
              <w:top w:type="dxa" w:w="120"/>
              <w:left w:type="dxa" w:w="160"/>
              <w:bottom w:type="dxa" w:w="120"/>
              <w:right w:type="dxa" w:w="160"/>
            </w:tcMar>
          </w:tcPr>
          <w:p>
            <w:pPr>
              <w:spacing w:after="40"/>
            </w:pPr>
            <w:r>
              <w:rPr>
                <w:rFonts w:ascii="Times New Roman" w:cs="Times New Roman" w:eastAsia="宋体" w:hAnsi="Times New Roman"/>
                <w:b/>
                <w:bCs/>
                <w:color w:val="2E7D32"/>
                <w:sz w:val="20"/>
                <w:szCs w:val="20"/>
              </w:rPr>
              <w:t xml:space="preserve">🚀 准备好开始了吗？</w:t>
            </w:r>
          </w:p>
          <w:p>
            <w:pPr>
              <w:spacing w:after="0" w:line="276"/>
            </w:pPr>
            <w:r>
              <w:rPr>
                <w:rFonts w:ascii="Times New Roman" w:cs="Times New Roman" w:eastAsia="宋体" w:hAnsi="Times New Roman"/>
                <w:color w:val="424242"/>
                <w:sz w:val="20"/>
                <w:szCs w:val="20"/>
              </w:rPr>
              <w:t xml:space="preserve">差距评估已经告诉您“差什么”——现在让我们帮您“补上来”。4-8周内完成71个数据点的完整底册，为护照注册做好数据准备。
启动步骤：①签署NDA与服务协议 → ②项目启动与数据规划 → ③供应商采集与核验 → ④数据手册交付</w:t>
            </w:r>
          </w:p>
        </w:tc>
      </w:tr>
    </w:tbl>
    <w:p>
      <w:pPr>
        <w:spacing w:after="0" w:before="160"/>
      </w:pPr>
      <w:r>
        <w:rPr>
          <w:rFonts w:ascii="Times New Roman" w:cs="Times New Roman" w:eastAsia="宋体" w:hAnsi="Times New Roman"/>
          <w:sz w:val="21"/>
          <w:szCs w:val="21"/>
        </w:rPr>
        <w:t xml:space="preserve"/>
      </w:r>
    </w:p>
    <w:p>
      <w:pPr>
        <w:spacing w:after="60"/>
      </w:pPr>
      <w:r>
        <w:rPr>
          <w:rFonts w:ascii="Times New Roman" w:cs="Times New Roman" w:eastAsia="宋体" w:hAnsi="Times New Roman"/>
          <w:sz w:val="21"/>
          <w:szCs w:val="21"/>
        </w:rPr>
        <w:t xml:space="preserve">📧 联系邮箱：</w:t>
      </w:r>
      <w:r>
        <w:rPr>
          <w:rFonts w:ascii="Times New Roman" w:cs="Times New Roman" w:eastAsia="宋体" w:hAnsi="Times New Roman"/>
          <w:b/>
          <w:bCs/>
          <w:sz w:val="21"/>
          <w:szCs w:val="21"/>
        </w:rPr>
        <w:t xml:space="preserve">dpp@shouxincaishui.com</w:t>
      </w:r>
    </w:p>
    <w:p>
      <w:pPr>
        <w:spacing w:after="60"/>
      </w:pPr>
      <w:r>
        <w:rPr>
          <w:rFonts w:ascii="Times New Roman" w:cs="Times New Roman" w:eastAsia="宋体" w:hAnsi="Times New Roman"/>
          <w:sz w:val="21"/>
          <w:szCs w:val="21"/>
        </w:rPr>
        <w:t xml:space="preserve">服务热线：</w:t>
      </w:r>
      <w:r>
        <w:rPr>
          <w:rFonts w:ascii="Times New Roman" w:cs="Times New Roman" w:eastAsia="宋体" w:hAnsi="Times New Roman"/>
          <w:b/>
          <w:bCs/>
          <w:sz w:val="21"/>
          <w:szCs w:val="21"/>
        </w:rPr>
        <w:t xml:space="preserve">400-XXX-XXXX</w:t>
      </w:r>
    </w:p>
    <w:p>
      <w:pPr>
        <w:spacing w:after="120"/>
      </w:pPr>
      <w:r>
        <w:rPr>
          <w:rFonts w:ascii="Times New Roman" w:cs="Times New Roman" w:eastAsia="宋体" w:hAnsi="Times New Roman"/>
          <w:color w:val="78909C"/>
          <w:sz w:val="18"/>
          <w:szCs w:val="18"/>
        </w:rPr>
        <w:t xml:space="preserve">工作日2小时内响应，签约后1个工作日内完成项目启动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dxa" w:w="9072"/>
            <w:tcBorders>
              <w:top w:val="single" w:color="E65100" w:sz="1"/>
              <w:left w:val="single" w:color="E65100" w:sz="6"/>
              <w:bottom w:val="single" w:color="E65100" w:sz="1"/>
              <w:right w:val="single" w:color="E65100" w:sz="1"/>
            </w:tcBorders>
            <w:shd w:fill="FFF8E1" w:color="auto" w:val="clear"/>
            <w:tcMar>
              <w:top w:type="dxa" w:w="120"/>
              <w:left w:type="dxa" w:w="160"/>
              <w:bottom w:type="dxa" w:w="120"/>
              <w:right w:type="dxa" w:w="160"/>
            </w:tcMar>
          </w:tcPr>
          <w:p>
            <w:pPr>
              <w:spacing w:after="40"/>
            </w:pPr>
            <w:r>
              <w:rPr>
                <w:rFonts w:ascii="Times New Roman" w:cs="Times New Roman" w:eastAsia="宋体" w:hAnsi="Times New Roman"/>
                <w:b/>
                <w:bCs/>
                <w:color w:val="E65100"/>
                <w:sz w:val="20"/>
                <w:szCs w:val="20"/>
              </w:rPr>
              <w:t xml:space="preserve">💡 前提条件</w:t>
            </w:r>
          </w:p>
          <w:p>
            <w:pPr>
              <w:spacing w:after="0" w:line="276"/>
            </w:pPr>
            <w:r>
              <w:rPr>
                <w:rFonts w:ascii="Times New Roman" w:cs="Times New Roman" w:eastAsia="宋体" w:hAnsi="Times New Roman"/>
                <w:color w:val="424242"/>
                <w:sz w:val="20"/>
                <w:szCs w:val="20"/>
              </w:rPr>
              <w:t xml:space="preserve">数据建设服务建议以差距评估（服务①）为前置输入。如果尚未完成差距评估，可以选择同时签约两项服务，我们会在差距评估完成后立即衔接数据建设，最大限度缩短总周期。</w:t>
            </w:r>
          </w:p>
        </w:tc>
      </w:tr>
    </w:tbl>
    <w:p>
      <w:pPr>
        <w:spacing w:after="0" w:before="200"/>
      </w:pPr>
      <w:r>
        <w:rPr>
          <w:rFonts w:ascii="Times New Roman" w:cs="Times New Roman" w:eastAsia="宋体" w:hAnsi="Times New Roman"/>
          <w:sz w:val="21"/>
          <w:szCs w:val="21"/>
        </w:rPr>
        <w:t xml:space="preserve"/>
      </w:r>
    </w:p>
    <w:p>
      <w:pPr>
        <w:spacing w:after="60" w:before="120"/>
      </w:pPr>
      <w:r>
        <w:rPr>
          <w:rFonts w:ascii="Times New Roman" w:cs="Times New Roman" w:eastAsia="宋体" w:hAnsi="Times New Roman"/>
          <w:b/>
          <w:bCs/>
          <w:color w:val="2E7D32"/>
          <w:sz w:val="18"/>
          <w:szCs w:val="18"/>
        </w:rPr>
        <w:t xml:space="preserve">附录</w:t>
      </w:r>
    </w:p>
    <w:p>
      <w:pPr>
        <w:pStyle w:val="Heading1"/>
        <w:keepNext/>
        <w:spacing w:after="200" w:before="360"/>
      </w:pPr>
      <w:r>
        <w:rPr>
          <w:rFonts w:ascii="Times New Roman" w:cs="Times New Roman" w:eastAsia="宋体" w:hAnsi="Times New Roman"/>
          <w:b/>
          <w:bCs/>
          <w:color w:val="1A237E"/>
          <w:sz w:val="32"/>
          <w:szCs w:val="32"/>
        </w:rPr>
        <w:t xml:space="preserve">附录与参考</w:t>
      </w:r>
    </w:p>
    <w:p>
      <w:pPr>
        <w:pStyle w:val="Heading2"/>
        <w:keepNext/>
        <w:spacing w:after="120" w:before="240"/>
      </w:pPr>
      <w:r>
        <w:rPr>
          <w:rFonts w:ascii="Times New Roman" w:cs="Times New Roman" w:eastAsia="宋体" w:hAnsi="Times New Roman"/>
          <w:b/>
          <w:bCs/>
          <w:color w:val="283593"/>
          <w:sz w:val="26"/>
          <w:szCs w:val="26"/>
        </w:rPr>
        <w:t xml:space="preserve">数据卡35字段完整清单（分6组）</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1200"/>
        <w:gridCol w:w="2400"/>
        <w:gridCol w:w="4672"/>
      </w:tblGrid>
      <w:tr>
        <w:trPr>
          <w:tblHeader/>
        </w:trPr>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编号</w:t>
            </w:r>
          </w:p>
        </w:tc>
        <w:tc>
          <w:tcPr>
            <w:tcW w:type="dxa" w:w="12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分组</w:t>
            </w:r>
          </w:p>
        </w:tc>
        <w:tc>
          <w:tcPr>
            <w:tcW w:type="dxa" w:w="2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字段名称</w:t>
            </w:r>
          </w:p>
        </w:tc>
        <w:tc>
          <w:tcPr>
            <w:tcW w:type="dxa" w:w="46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18"/>
                <w:szCs w:val="18"/>
              </w:rPr>
              <w:t xml:space="preserve">说明</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基本信息组（9项）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制造商名称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与营业执照一致的公司全称</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制造商地址与联系方式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含单一联系点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电池类别</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EV/LMT/工业/便携式/SLI</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电池型号</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型号标识及批号或序列号</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序列号/批号</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唯一标识符</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制造日期</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月份和年份</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G07</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制造地点</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电池生产工厂的地理位置</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G08</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化学体系</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如NCM/NCA/LFP等</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G09</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基本信息</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电池重量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单位：kg</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技术参数组（6项）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标称电压</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单位：V，含温度范围</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额定容量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单位：Ah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额定功率/能量</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单位：W/Wh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循环寿命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预期循环次数（参考条件下）</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预期寿命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日历年限（参考条件下）</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T06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技术参数</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质保条款</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商业保修日历寿命期限</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材料组（6项）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有害物质信息</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除Hg/Cd/Pb外的有害物质</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电池组件清单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正极、负极、电解液等</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关键原材料(CRM)清单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浓度&gt;0.1%重量比的CRM</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CRM原产国</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关键原材料的原产国</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冶炼厂/精炼厂信息</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名称与地址</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M06</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材料</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再生含量比例</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再生钴/铅/锂/镍占比(%)</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合规组（5项）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CE认证/DoC声明</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EU符合性声明</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测试报告</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法规符合性测试结果</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碳足迹声明</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kgCO₂e/kWh</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碳足迹等级</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碳足迹分级标签</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C05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合规</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尽职调查政策</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供应链尽职调查报告</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供应链组（4项）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供应商名称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公司全称，与营业执照一致</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供应层级</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一级（直接供应）/二级（原材料）</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负责的数据字段</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该供应商提供的数据项清单</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S04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供应链</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数据提供日期与版本</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数据时效性标记</w:t>
            </w:r>
          </w:p>
        </w:tc>
      </w:tr>
      <w:tr>
        <w:tc>
          <w:tcPr>
            <w:gridSpan w:val="4"/>
            <w:shd w:fill="E8EAF6" w:color="auto" w:val="clear"/>
            <w:tcMar>
              <w:top w:type="dxa" w:w="60"/>
              <w:left w:type="dxa" w:w="80"/>
              <w:bottom w:type="dxa" w:w="60"/>
              <w:right w:type="dxa" w:w="80"/>
            </w:tcMar>
          </w:tcPr>
          <w:p>
            <w:pPr>
              <w:spacing w:after="0"/>
            </w:pPr>
            <w:r>
              <w:rPr>
                <w:rFonts w:ascii="Times New Roman" w:cs="Times New Roman" w:eastAsia="宋体" w:hAnsi="Times New Roman"/>
                <w:b/>
                <w:bCs/>
                <w:color w:val="1A237E"/>
                <w:sz w:val="18"/>
                <w:szCs w:val="18"/>
              </w:rPr>
              <w:t xml:space="preserve">动态数据组（5项）</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H01</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健康状态(SoH)数据源</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数据来源与更新频率</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H02</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充放电循环次数</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累计循环次数</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H03</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温度历史</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运行环境条件信息</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H04</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故障与维护记录</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负面事件与维护记录</w:t>
            </w:r>
          </w:p>
        </w:tc>
      </w:tr>
      <w:tr>
        <w:tc>
          <w:tcPr>
            <w:tcW w:type="dxa" w:w="8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H05</w:t>
            </w:r>
          </w:p>
        </w:tc>
        <w:tc>
          <w:tcPr>
            <w:tcW w:type="dxa" w:w="1200"/>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动态数据</w:t>
            </w:r>
          </w:p>
        </w:tc>
        <w:tc>
          <w:tcPr>
            <w:tcW w:type="dxa" w:w="2400"/>
            <w:tcMar>
              <w:top w:type="dxa" w:w="40"/>
              <w:left w:type="dxa" w:w="80"/>
              <w:bottom w:type="dxa" w:w="40"/>
              <w:right w:type="dxa" w:w="80"/>
            </w:tcMar>
            <w:vAlign w:val="center"/>
          </w:tcPr>
          <w:p>
            <w:pPr>
              <w:spacing w:after="40"/>
            </w:pPr>
            <w:r>
              <w:rPr>
                <w:rFonts w:ascii="Times New Roman" w:cs="Times New Roman" w:eastAsia="宋体" w:hAnsi="Times New Roman"/>
                <w:b/>
                <w:bCs/>
                <w:sz w:val="18"/>
                <w:szCs w:val="18"/>
              </w:rPr>
              <w:t xml:space="preserve">电池状态</w:t>
            </w:r>
          </w:p>
        </w:tc>
        <w:tc>
          <w:tcPr>
            <w:tcW w:type="dxa" w:w="4672"/>
            <w:tcMar>
              <w:top w:type="dxa" w:w="40"/>
              <w:left w:type="dxa" w:w="80"/>
              <w:bottom w:type="dxa" w:w="40"/>
              <w:right w:type="dxa" w:w="80"/>
            </w:tcMar>
            <w:vAlign w:val="center"/>
          </w:tcPr>
          <w:p>
            <w:pPr>
              <w:spacing w:after="40"/>
            </w:pPr>
            <w:r>
              <w:rPr>
                <w:rFonts w:ascii="Times New Roman" w:cs="Times New Roman" w:eastAsia="宋体" w:hAnsi="Times New Roman"/>
                <w:b w:val="false"/>
                <w:bCs w:val="false"/>
                <w:sz w:val="18"/>
                <w:szCs w:val="18"/>
              </w:rPr>
              <w:t xml:space="preserve">原始/再利用/重复使用/再制造/废弃物</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供应商问卷结构（Part 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5872"/>
      </w:tblGrid>
      <w:tr>
        <w:trPr>
          <w:tblHeader/>
        </w:trPr>
        <w:tc>
          <w:tcPr>
            <w:tcW w:type="dxa" w:w="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Part</w:t>
            </w:r>
          </w:p>
        </w:tc>
        <w:tc>
          <w:tcPr>
            <w:tcW w:type="dxa" w:w="24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主题</w:t>
            </w:r>
          </w:p>
        </w:tc>
        <w:tc>
          <w:tcPr>
            <w:tcW w:type="dxa" w:w="58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主要内容</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A</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供应商基本信息</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公司名称、地址、联系人、成立时间、主营业务</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电池材料组成</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正极/负极/电解液材料、有害物质标识</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生产工艺数据</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关键工艺步骤、能耗、生产地点、质量认证</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D</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环境数据</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碳排放数据、LCA摘要、可再生能源比例</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质量与认证</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ISO/IATF证书编号、测试报告、合规声明</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F</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供应链尽调</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CRM来源国、冶炼厂信息、尽调政策、RMI审核</w:t>
            </w:r>
          </w:p>
        </w:tc>
      </w:tr>
      <w:tr>
        <w:tc>
          <w:tcPr>
            <w:tcW w:type="dxa" w:w="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G</w:t>
            </w:r>
          </w:p>
        </w:tc>
        <w:tc>
          <w:tcPr>
            <w:tcW w:type="dxa" w:w="24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签署与承诺</w:t>
            </w:r>
          </w:p>
        </w:tc>
        <w:tc>
          <w:tcPr>
            <w:tcW w:type="dxa" w:w="58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数据真实性承诺、DPP对接授权、更新承诺</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术语简表</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00"/>
        <w:gridCol w:w="6272"/>
      </w:tblGrid>
      <w:tr>
        <w:trPr>
          <w:tblHeader/>
        </w:trPr>
        <w:tc>
          <w:tcPr>
            <w:tcW w:type="dxa" w:w="2800"/>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术语</w:t>
            </w:r>
          </w:p>
        </w:tc>
        <w:tc>
          <w:tcPr>
            <w:tcW w:type="dxa" w:w="6272"/>
            <w:shd w:fill="1A237E" w:color="auto" w:val="clear"/>
            <w:tcMar>
              <w:top w:type="dxa" w:w="40"/>
              <w:left w:type="dxa" w:w="80"/>
              <w:bottom w:type="dxa" w:w="40"/>
              <w:right w:type="dxa" w:w="80"/>
            </w:tcMar>
            <w:vAlign w:val="center"/>
          </w:tcPr>
          <w:p>
            <w:pPr>
              <w:spacing w:after="40"/>
            </w:pPr>
            <w:r>
              <w:rPr>
                <w:rFonts w:ascii="Times New Roman" w:cs="Times New Roman" w:eastAsia="宋体" w:hAnsi="Times New Roman"/>
                <w:b/>
                <w:bCs/>
                <w:color w:val="FFFFFF"/>
                <w:sz w:val="20"/>
                <w:szCs w:val="20"/>
              </w:rPr>
              <w:t xml:space="preserve">释义</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DPP（Digital Product Passport）</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数字产品护照，电池护照的正式称谓</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(EU) 2023/1542</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欧盟电池与废电池法规，2023年8月17日生效</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数据卡</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每个电池型号的数据底卡，包含35个标准字段，标注已填/待补/不适用状态</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数据手册</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所有数据卡+采集台账+供应商清单的完整集合，是护照注册的数据基础</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三级核验</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L1逻辑校验+L2交叉验证+L3法规合规的数据质量保障流程</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SKU</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库存量单位，在本服务中指电池型号</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CRM</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关键原材料（Critical Raw Materials），护照中按&gt;0.1%重量比申报</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SoH</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电池健康状态（State of Health），属于动态数据需持续更新</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BMS</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电池管理系统（Battery Management System），动态数据的来源</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EV / LMT / 工业电池</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三类强制适用电池护照的电池类型</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 / DoC</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CE合格标识 / EU符合性声明（Declaration of Conformity）</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EPR</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生产者延伸责任（Extended Producer Responsibility）</w:t>
            </w:r>
          </w:p>
        </w:tc>
      </w:tr>
      <w:tr>
        <w:tc>
          <w:tcPr>
            <w:tcW w:type="dxa" w:w="2800"/>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LCA</w:t>
            </w:r>
          </w:p>
        </w:tc>
        <w:tc>
          <w:tcPr>
            <w:tcW w:type="dxa" w:w="6272"/>
            <w:tcMar>
              <w:top w:type="dxa" w:w="40"/>
              <w:left w:type="dxa" w:w="80"/>
              <w:bottom w:type="dxa" w:w="40"/>
              <w:right w:type="dxa" w:w="80"/>
            </w:tcMar>
            <w:vAlign w:val="center"/>
          </w:tcPr>
          <w:p>
            <w:pPr>
              <w:spacing w:after="40" w:line="240"/>
            </w:pPr>
            <w:r>
              <w:rPr>
                <w:rFonts w:ascii="Times New Roman" w:cs="Times New Roman" w:eastAsia="宋体" w:hAnsi="Times New Roman"/>
                <w:sz w:val="20"/>
                <w:szCs w:val="20"/>
              </w:rPr>
              <w:t xml:space="preserve">生命周期评估（Life Cycle Assessment），碳足迹计算的方法论基础</w:t>
            </w:r>
          </w:p>
        </w:tc>
      </w:tr>
    </w:tbl>
    <w:p>
      <w:pPr>
        <w:spacing w:after="0" w:before="200"/>
      </w:pPr>
      <w:r>
        <w:rPr>
          <w:rFonts w:ascii="Times New Roman" w:cs="Times New Roman" w:eastAsia="宋体" w:hAnsi="Times New Roman"/>
          <w:sz w:val="21"/>
          <w:szCs w:val="21"/>
        </w:rPr>
        <w:t xml:space="preserve"/>
      </w:r>
    </w:p>
    <w:p>
      <w:pPr>
        <w:pStyle w:val="Heading2"/>
        <w:keepNext/>
        <w:spacing w:after="120" w:before="240"/>
      </w:pPr>
      <w:r>
        <w:rPr>
          <w:rFonts w:ascii="Times New Roman" w:cs="Times New Roman" w:eastAsia="宋体" w:hAnsi="Times New Roman"/>
          <w:b/>
          <w:bCs/>
          <w:color w:val="283593"/>
          <w:sz w:val="26"/>
          <w:szCs w:val="26"/>
        </w:rPr>
        <w:t xml:space="preserve">关于守信财税</w:t>
      </w:r>
    </w:p>
    <w:p>
      <w:pPr>
        <w:spacing w:after="120" w:line="300"/>
      </w:pPr>
      <w:r>
        <w:rPr>
          <w:rFonts w:ascii="Times New Roman" w:cs="Times New Roman" w:eastAsia="宋体" w:hAnsi="Times New Roman"/>
          <w:sz w:val="21"/>
          <w:szCs w:val="21"/>
        </w:rPr>
        <w:t xml:space="preserve">守信财税深耕财税合规领域18年，是专注于为中国企业提供欧盟合规服务的专业机构。我们的DPP业务线依托对(EU) 2023/1542电池法规的系统性研究，结合电池行业的供应链实际，为电池企业提供从①差距评估 → ②数据建设 → ③注册上线 → ④年度托管的一站式合规服务。标准化流程、工具化交付、全链条衔接——帮助中国电池企业高效、合规地进入欧盟市场。</w:t>
      </w:r>
    </w:p>
    <w:p>
      <w:pPr>
        <w:spacing w:after="0" w:before="300"/>
      </w:pPr>
      <w:r>
        <w:rPr>
          <w:rFonts w:ascii="Times New Roman" w:cs="Times New Roman" w:eastAsia="宋体" w:hAnsi="Times New Roman"/>
          <w:sz w:val="21"/>
          <w:szCs w:val="21"/>
        </w:rPr>
        <w:t xml:space="preserve"/>
      </w:r>
    </w:p>
    <w:p>
      <w:pPr>
        <w:spacing w:after="100"/>
        <w:jc w:val="center"/>
      </w:pPr>
      <w:r>
        <w:rPr>
          <w:rFonts w:ascii="Times New Roman" w:cs="Times New Roman" w:eastAsia="宋体" w:hAnsi="Times New Roman"/>
          <w:color w:val="E0E0E0"/>
          <w:sz w:val="16"/>
          <w:szCs w:val="16"/>
        </w:rPr>
        <w:t xml:space="preserve">━━━━━━━━━━━━━━━━━━━━━━━━━━━━━━━━━━━━━━━━━━━━━━━━━━━━━━━━━━━━</w:t>
      </w:r>
    </w:p>
    <w:p>
      <w:pPr>
        <w:spacing w:after="40"/>
        <w:jc w:val="center"/>
      </w:pPr>
      <w:r>
        <w:rPr>
          <w:rFonts w:ascii="Times New Roman" w:cs="Times New Roman" w:eastAsia="宋体" w:hAnsi="Times New Roman"/>
          <w:color w:val="78909C"/>
          <w:sz w:val="16"/>
          <w:szCs w:val="16"/>
        </w:rPr>
        <w:t xml:space="preserve">DPP数据建设服务 · 产品手册 v2.0 · 2026年9月 · 守信财税 · DPP业务线</w:t>
      </w:r>
    </w:p>
    <w:p>
      <w:pPr>
        <w:spacing w:after="0"/>
        <w:jc w:val="center"/>
      </w:pPr>
      <w:r>
        <w:rPr>
          <w:rFonts w:ascii="Times New Roman" w:cs="Times New Roman" w:eastAsia="宋体" w:hAnsi="Times New Roman"/>
          <w:color w:val="78909C"/>
          <w:sz w:val="16"/>
          <w:szCs w:val="16"/>
        </w:rPr>
        <w:t xml:space="preserve">本手册内容仅供参考，具体服务范围与交付标准以签署的服务协议为准</w:t>
      </w:r>
    </w:p>
    <w:sectPr>
      <w:headerReference w:type="default" r:id="rId11"/>
      <w:footerReference w:type="default" r:id="rId12"/>
      <w:pgSz w:w="11906" w:h="16838"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宋体" w:hAnsi="Times New Roman"/>
        <w:color w:val="78909C"/>
        <w:sz w:val="16"/>
        <w:szCs w:val="16"/>
      </w:rPr>
      <w:t xml:space="preserve">第 </w:t>
    </w:r>
    <w:r>
      <w:rPr>
        <w:rFonts w:ascii="Times New Roman" w:cs="Times New Roman" w:eastAsia="宋体" w:hAnsi="Times New Roman"/>
        <w:color w:val="78909C"/>
        <w:sz w:val="16"/>
        <w:szCs w:val="16"/>
      </w:rPr>
      <w:fldChar w:fldCharType="begin"/>
      <w:instrText xml:space="preserve">PAGE</w:instrText>
      <w:fldChar w:fldCharType="separate"/>
      <w:fldChar w:fldCharType="end"/>
    </w:r>
    <w:r>
      <w:rPr>
        <w:rFonts w:ascii="Times New Roman" w:cs="Times New Roman" w:eastAsia="宋体" w:hAnsi="Times New Roman"/>
        <w:color w:val="78909C"/>
        <w:sz w:val="16"/>
        <w:szCs w:val="16"/>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237E" w:sz="1" w:space="4"/>
      </w:pBdr>
      <w:spacing w:after="0"/>
      <w:jc w:val="right"/>
    </w:pPr>
    <w:r>
      <w:rPr>
        <w:rFonts w:ascii="Times New Roman" w:cs="Times New Roman" w:eastAsia="宋体" w:hAnsi="Times New Roman"/>
        <w:color w:val="1A237E"/>
        <w:sz w:val="16"/>
        <w:szCs w:val="16"/>
      </w:rPr>
      <w:t xml:space="preserve">DPP数据建设服务 · 守信财税</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宋体"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120"/>
      <w:jc w:val="center"/>
    </w:pPr>
    <w:rPr>
      <w:rFonts w:ascii="Times New Roman" w:cs="Times New Roman" w:eastAsia="宋体" w:hAnsi="Times New Roman"/>
      <w:b/>
      <w:bCs/>
      <w:color w:val="1A237E"/>
      <w:sz w:val="56"/>
      <w:szCs w:val="56"/>
    </w:rPr>
  </w:style>
  <w:style w:type="paragraph" w:styleId="Heading1">
    <w:name w:val="Heading 1"/>
    <w:basedOn w:val="Normal"/>
    <w:next w:val="Normal"/>
    <w:qFormat/>
    <w:pPr>
      <w:keepNext/>
      <w:keepLines/>
      <w:spacing w:after="200" w:before="360"/>
      <w:outlineLvl w:val="0"/>
    </w:pPr>
    <w:rPr>
      <w:rFonts w:ascii="Times New Roman" w:cs="Times New Roman" w:eastAsia="宋体" w:hAnsi="Times New Roman"/>
      <w:b/>
      <w:bCs/>
      <w:color w:val="1A237E"/>
      <w:sz w:val="32"/>
      <w:szCs w:val="32"/>
    </w:rPr>
  </w:style>
  <w:style w:type="paragraph" w:styleId="Heading2">
    <w:name w:val="Heading 2"/>
    <w:basedOn w:val="Normal"/>
    <w:next w:val="Normal"/>
    <w:qFormat/>
    <w:pPr>
      <w:keepNext/>
      <w:keepLines/>
      <w:spacing w:after="120" w:before="240"/>
      <w:outlineLvl w:val="1"/>
    </w:pPr>
    <w:rPr>
      <w:rFonts w:ascii="Times New Roman" w:cs="Times New Roman" w:eastAsia="宋体" w:hAnsi="Times New Roman"/>
      <w:b/>
      <w:bCs/>
      <w:color w:val="283593"/>
      <w:sz w:val="26"/>
      <w:szCs w:val="26"/>
    </w:rPr>
  </w:style>
  <w:style w:type="paragraph" w:styleId="Heading3">
    <w:name w:val="Heading 3"/>
    <w:basedOn w:val="Normal"/>
    <w:next w:val="Normal"/>
    <w:qFormat/>
    <w:pPr>
      <w:keepNext/>
      <w:keepLines/>
      <w:spacing w:after="100" w:before="200"/>
      <w:outlineLvl w:val="2"/>
    </w:pPr>
    <w:rPr>
      <w:rFonts w:ascii="Times New Roman" w:cs="Times New Roman" w:eastAsia="宋体" w:hAnsi="Times New Roman"/>
      <w:b/>
      <w:bCs/>
      <w:color w:val="1A237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2026-09-28T02:52:02.569Z</dcterms:created>
  <dcterms:modified xsi:type="dcterms:W3CDTF">2026-09-28T02:52:02.570Z</dcterms:modified>
</cp:coreProperties>
</file>

<file path=docProps/custom.xml><?xml version="1.0" encoding="utf-8"?>
<Properties xmlns="http://schemas.openxmlformats.org/officeDocument/2006/custom-properties" xmlns:vt="http://schemas.openxmlformats.org/officeDocument/2006/docPropsVTypes"/>
</file>